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88E47" w14:textId="5F281D15" w:rsidR="00D66221" w:rsidRDefault="00696B1F">
      <w:pPr>
        <w:pStyle w:val="BodyText"/>
        <w:kinsoku w:val="0"/>
        <w:overflowPunct w:val="0"/>
        <w:spacing w:before="49" w:line="244" w:lineRule="auto"/>
        <w:ind w:left="5921" w:right="1421"/>
        <w:rPr>
          <w:rFonts w:ascii="ChaletComprime-HongKongSixty" w:hAnsi="ChaletComprime-HongKongSixty" w:cs="ChaletComprime-HongKongSixty"/>
          <w:sz w:val="40"/>
          <w:szCs w:val="40"/>
        </w:rPr>
      </w:pPr>
      <w:r>
        <w:rPr>
          <w:rFonts w:ascii="ChaletComprime-HongKongSixty" w:hAnsi="ChaletComprime-HongKongSixty"/>
          <w:sz w:val="40"/>
          <w:szCs w:val="40"/>
        </w:rPr>
        <w:t>Posicionamiento</w:t>
      </w:r>
      <w:r w:rsidR="00D66221">
        <w:rPr>
          <w:rFonts w:ascii="ChaletComprime-HongKongSixty" w:hAnsi="ChaletComprime-HongKongSixty"/>
          <w:sz w:val="40"/>
          <w:szCs w:val="40"/>
        </w:rPr>
        <w:t xml:space="preserve"> de la Red Europea contra la Mutilación Genital Femenina (End FGM EU)</w:t>
      </w:r>
    </w:p>
    <w:p w14:paraId="1426F72A" w14:textId="77777777" w:rsidR="00D66221" w:rsidRDefault="00D66221">
      <w:pPr>
        <w:pStyle w:val="Heading3"/>
        <w:kinsoku w:val="0"/>
        <w:overflowPunct w:val="0"/>
        <w:spacing w:before="184"/>
        <w:ind w:left="5921"/>
        <w:rPr>
          <w:color w:val="9A258F"/>
        </w:rPr>
      </w:pPr>
      <w:r>
        <w:rPr>
          <w:color w:val="9A258F"/>
        </w:rPr>
        <w:t>Diciembre de 2016.</w:t>
      </w:r>
    </w:p>
    <w:p w14:paraId="35E4B0AB" w14:textId="77777777" w:rsidR="00D66221" w:rsidRDefault="00D66221">
      <w:pPr>
        <w:pStyle w:val="BodyText"/>
        <w:kinsoku w:val="0"/>
        <w:overflowPunct w:val="0"/>
        <w:rPr>
          <w:rFonts w:ascii="ChaletComprime" w:hAnsi="ChaletComprime" w:cs="ChaletComprime"/>
        </w:rPr>
      </w:pPr>
    </w:p>
    <w:p w14:paraId="215A629F" w14:textId="77777777" w:rsidR="00D66221" w:rsidRDefault="00D66221">
      <w:pPr>
        <w:pStyle w:val="BodyText"/>
        <w:kinsoku w:val="0"/>
        <w:overflowPunct w:val="0"/>
        <w:rPr>
          <w:rFonts w:ascii="ChaletComprime" w:hAnsi="ChaletComprime" w:cs="ChaletComprime"/>
        </w:rPr>
      </w:pPr>
    </w:p>
    <w:p w14:paraId="238620B7" w14:textId="77777777" w:rsidR="00D66221" w:rsidRDefault="00D66221">
      <w:pPr>
        <w:pStyle w:val="BodyText"/>
        <w:kinsoku w:val="0"/>
        <w:overflowPunct w:val="0"/>
        <w:rPr>
          <w:rFonts w:ascii="ChaletComprime" w:hAnsi="ChaletComprime" w:cs="ChaletComprime"/>
        </w:rPr>
      </w:pPr>
    </w:p>
    <w:p w14:paraId="6BA1D3BC" w14:textId="77777777" w:rsidR="00D66221" w:rsidRDefault="00D66221">
      <w:pPr>
        <w:pStyle w:val="BodyText"/>
        <w:kinsoku w:val="0"/>
        <w:overflowPunct w:val="0"/>
        <w:rPr>
          <w:rFonts w:ascii="ChaletComprime" w:hAnsi="ChaletComprime" w:cs="ChaletComprime"/>
        </w:rPr>
      </w:pPr>
    </w:p>
    <w:p w14:paraId="3A44C989" w14:textId="77777777" w:rsidR="00D66221" w:rsidRDefault="00D66221">
      <w:pPr>
        <w:pStyle w:val="BodyText"/>
        <w:kinsoku w:val="0"/>
        <w:overflowPunct w:val="0"/>
        <w:rPr>
          <w:rFonts w:ascii="ChaletComprime" w:hAnsi="ChaletComprime" w:cs="ChaletComprime"/>
        </w:rPr>
      </w:pPr>
    </w:p>
    <w:p w14:paraId="7BF45885" w14:textId="77777777" w:rsidR="00D66221" w:rsidRDefault="00D66221">
      <w:pPr>
        <w:pStyle w:val="BodyText"/>
        <w:kinsoku w:val="0"/>
        <w:overflowPunct w:val="0"/>
        <w:rPr>
          <w:rFonts w:ascii="ChaletComprime" w:hAnsi="ChaletComprime" w:cs="ChaletComprime"/>
        </w:rPr>
      </w:pPr>
    </w:p>
    <w:p w14:paraId="67F4D8A8" w14:textId="77777777" w:rsidR="00D66221" w:rsidRDefault="00D66221">
      <w:pPr>
        <w:pStyle w:val="BodyText"/>
        <w:kinsoku w:val="0"/>
        <w:overflowPunct w:val="0"/>
        <w:rPr>
          <w:rFonts w:ascii="ChaletComprime" w:hAnsi="ChaletComprime" w:cs="ChaletComprime"/>
        </w:rPr>
      </w:pPr>
    </w:p>
    <w:p w14:paraId="37288610" w14:textId="77777777" w:rsidR="00D66221" w:rsidRDefault="00D66221">
      <w:pPr>
        <w:pStyle w:val="BodyText"/>
        <w:kinsoku w:val="0"/>
        <w:overflowPunct w:val="0"/>
        <w:rPr>
          <w:rFonts w:ascii="ChaletComprime" w:hAnsi="ChaletComprime" w:cs="ChaletComprime"/>
        </w:rPr>
      </w:pPr>
    </w:p>
    <w:p w14:paraId="28ABF645" w14:textId="77777777" w:rsidR="00D66221" w:rsidRDefault="00D66221">
      <w:pPr>
        <w:pStyle w:val="BodyText"/>
        <w:kinsoku w:val="0"/>
        <w:overflowPunct w:val="0"/>
        <w:rPr>
          <w:rFonts w:ascii="ChaletComprime" w:hAnsi="ChaletComprime" w:cs="ChaletComprime"/>
        </w:rPr>
      </w:pPr>
    </w:p>
    <w:p w14:paraId="68138277" w14:textId="77777777" w:rsidR="00D66221" w:rsidRDefault="00D66221">
      <w:pPr>
        <w:pStyle w:val="BodyText"/>
        <w:kinsoku w:val="0"/>
        <w:overflowPunct w:val="0"/>
        <w:rPr>
          <w:rFonts w:ascii="ChaletComprime" w:hAnsi="ChaletComprime" w:cs="ChaletComprime"/>
        </w:rPr>
      </w:pPr>
    </w:p>
    <w:p w14:paraId="4F81016C" w14:textId="77777777" w:rsidR="00D66221" w:rsidRDefault="00D66221">
      <w:pPr>
        <w:pStyle w:val="BodyText"/>
        <w:kinsoku w:val="0"/>
        <w:overflowPunct w:val="0"/>
        <w:rPr>
          <w:rFonts w:ascii="ChaletComprime" w:hAnsi="ChaletComprime" w:cs="ChaletComprime"/>
        </w:rPr>
      </w:pPr>
    </w:p>
    <w:p w14:paraId="23205F2F" w14:textId="77777777" w:rsidR="00D66221" w:rsidRDefault="00D66221">
      <w:pPr>
        <w:pStyle w:val="BodyText"/>
        <w:kinsoku w:val="0"/>
        <w:overflowPunct w:val="0"/>
        <w:rPr>
          <w:rFonts w:ascii="ChaletComprime" w:hAnsi="ChaletComprime" w:cs="ChaletComprime"/>
        </w:rPr>
      </w:pPr>
    </w:p>
    <w:p w14:paraId="2BF04479" w14:textId="77777777" w:rsidR="00D66221" w:rsidRDefault="00D66221">
      <w:pPr>
        <w:pStyle w:val="BodyText"/>
        <w:kinsoku w:val="0"/>
        <w:overflowPunct w:val="0"/>
        <w:rPr>
          <w:rFonts w:ascii="ChaletComprime" w:hAnsi="ChaletComprime" w:cs="ChaletComprime"/>
        </w:rPr>
      </w:pPr>
    </w:p>
    <w:p w14:paraId="792643E1" w14:textId="385AED7D" w:rsidR="003737CB" w:rsidRDefault="00D66221">
      <w:pPr>
        <w:pStyle w:val="BodyText"/>
        <w:tabs>
          <w:tab w:val="left" w:pos="2125"/>
          <w:tab w:val="left" w:pos="3193"/>
          <w:tab w:val="left" w:pos="5000"/>
          <w:tab w:val="left" w:pos="7527"/>
        </w:tabs>
        <w:kinsoku w:val="0"/>
        <w:overflowPunct w:val="0"/>
        <w:spacing w:before="178"/>
        <w:ind w:left="117"/>
        <w:rPr>
          <w:rFonts w:ascii="ChaletComprime-HongKongSixty" w:hAnsi="ChaletComprime-HongKongSixty"/>
          <w:color w:val="000000" w:themeColor="text1"/>
          <w:sz w:val="138"/>
          <w:szCs w:val="138"/>
        </w:rPr>
      </w:pPr>
      <w:r>
        <w:rPr>
          <w:rFonts w:ascii="ChaletComprime-HongKongSixty" w:hAnsi="ChaletComprime-HongKongSixty"/>
          <w:color w:val="000000" w:themeColor="text1"/>
          <w:sz w:val="138"/>
          <w:szCs w:val="138"/>
        </w:rPr>
        <w:t>Cómo</w:t>
      </w:r>
      <w:r w:rsidR="003737CB">
        <w:rPr>
          <w:rFonts w:ascii="ChaletComprime-HongKongSixty" w:hAnsi="ChaletComprime-HongKongSixty"/>
          <w:color w:val="000000" w:themeColor="text1"/>
          <w:sz w:val="138"/>
          <w:szCs w:val="138"/>
        </w:rPr>
        <w:t xml:space="preserve"> </w:t>
      </w:r>
      <w:r>
        <w:rPr>
          <w:rFonts w:ascii="ChaletComprime-HongKongSixty" w:hAnsi="ChaletComprime-HongKongSixty"/>
          <w:color w:val="000000" w:themeColor="text1"/>
          <w:sz w:val="138"/>
          <w:szCs w:val="138"/>
        </w:rPr>
        <w:t>hablar</w:t>
      </w:r>
      <w:r w:rsidR="003737CB">
        <w:rPr>
          <w:rFonts w:ascii="ChaletComprime-HongKongSixty" w:hAnsi="ChaletComprime-HongKongSixty"/>
          <w:color w:val="000000" w:themeColor="text1"/>
          <w:sz w:val="138"/>
          <w:szCs w:val="138"/>
        </w:rPr>
        <w:t xml:space="preserve"> </w:t>
      </w:r>
    </w:p>
    <w:p w14:paraId="3B7FAADA" w14:textId="1355947A" w:rsidR="00D66221" w:rsidRPr="000C44AF" w:rsidRDefault="00D66221">
      <w:pPr>
        <w:pStyle w:val="BodyText"/>
        <w:tabs>
          <w:tab w:val="left" w:pos="2125"/>
          <w:tab w:val="left" w:pos="3193"/>
          <w:tab w:val="left" w:pos="5000"/>
          <w:tab w:val="left" w:pos="7527"/>
        </w:tabs>
        <w:kinsoku w:val="0"/>
        <w:overflowPunct w:val="0"/>
        <w:spacing w:before="178"/>
        <w:ind w:left="117"/>
        <w:rPr>
          <w:rFonts w:ascii="ChaletComprime-HongKongSixty" w:hAnsi="ChaletComprime-HongKongSixty" w:cs="ChaletComprime-HongKongSixty"/>
          <w:color w:val="000000" w:themeColor="text1"/>
          <w:spacing w:val="-10"/>
          <w:sz w:val="138"/>
          <w:szCs w:val="138"/>
        </w:rPr>
      </w:pPr>
      <w:r>
        <w:rPr>
          <w:rFonts w:ascii="ChaletComprime-HongKongSixty" w:hAnsi="ChaletComprime-HongKongSixty"/>
          <w:color w:val="000000" w:themeColor="text1"/>
          <w:sz w:val="138"/>
          <w:szCs w:val="138"/>
        </w:rPr>
        <w:t>de</w:t>
      </w:r>
      <w:r w:rsidR="003737CB">
        <w:rPr>
          <w:rFonts w:ascii="ChaletComprime-HongKongSixty" w:hAnsi="ChaletComprime-HongKongSixty"/>
          <w:color w:val="000000" w:themeColor="text1"/>
          <w:sz w:val="138"/>
          <w:szCs w:val="138"/>
        </w:rPr>
        <w:t xml:space="preserve"> </w:t>
      </w:r>
      <w:r>
        <w:rPr>
          <w:rFonts w:ascii="ChaletComprime-HongKongSixty" w:hAnsi="ChaletComprime-HongKongSixty"/>
          <w:color w:val="000000" w:themeColor="text1"/>
          <w:sz w:val="138"/>
          <w:szCs w:val="138"/>
        </w:rPr>
        <w:t>la</w:t>
      </w:r>
      <w:r w:rsidR="003737CB">
        <w:rPr>
          <w:rFonts w:ascii="ChaletComprime-HongKongSixty" w:hAnsi="ChaletComprime-HongKongSixty"/>
          <w:color w:val="000000" w:themeColor="text1"/>
          <w:sz w:val="138"/>
          <w:szCs w:val="138"/>
        </w:rPr>
        <w:t xml:space="preserve"> </w:t>
      </w:r>
      <w:r>
        <w:rPr>
          <w:rFonts w:ascii="ChaletComprime-HongKongSixty" w:hAnsi="ChaletComprime-HongKongSixty"/>
          <w:color w:val="000000" w:themeColor="text1"/>
          <w:sz w:val="138"/>
          <w:szCs w:val="138"/>
        </w:rPr>
        <w:t>MGF</w:t>
      </w:r>
    </w:p>
    <w:p w14:paraId="2BCA3F51" w14:textId="77777777" w:rsidR="00D66221" w:rsidRDefault="00D66221">
      <w:pPr>
        <w:pStyle w:val="BodyText"/>
        <w:tabs>
          <w:tab w:val="left" w:pos="2125"/>
          <w:tab w:val="left" w:pos="3193"/>
          <w:tab w:val="left" w:pos="5000"/>
          <w:tab w:val="left" w:pos="7527"/>
        </w:tabs>
        <w:kinsoku w:val="0"/>
        <w:overflowPunct w:val="0"/>
        <w:spacing w:before="178"/>
        <w:ind w:left="117"/>
        <w:rPr>
          <w:rFonts w:ascii="ChaletComprime-HongKongSixty" w:hAnsi="ChaletComprime-HongKongSixty" w:cs="ChaletComprime-HongKongSixty"/>
          <w:color w:val="FFFFFF"/>
          <w:spacing w:val="-10"/>
          <w:sz w:val="138"/>
          <w:szCs w:val="138"/>
        </w:rPr>
        <w:sectPr w:rsidR="00D66221">
          <w:type w:val="continuous"/>
          <w:pgSz w:w="11910" w:h="16840"/>
          <w:pgMar w:top="840" w:right="0" w:bottom="280" w:left="1300" w:header="720" w:footer="720" w:gutter="0"/>
          <w:cols w:space="720"/>
          <w:noEndnote/>
        </w:sectPr>
      </w:pPr>
    </w:p>
    <w:p w14:paraId="08EBE344" w14:textId="77777777" w:rsidR="00D66221" w:rsidRDefault="00D66221">
      <w:pPr>
        <w:pStyle w:val="BodyText"/>
        <w:kinsoku w:val="0"/>
        <w:overflowPunct w:val="0"/>
        <w:rPr>
          <w:rFonts w:ascii="ChaletComprime-HongKongSixty" w:hAnsi="ChaletComprime-HongKongSixty" w:cs="ChaletComprime-HongKongSixty"/>
        </w:rPr>
      </w:pPr>
    </w:p>
    <w:p w14:paraId="5C7A5D33" w14:textId="77777777" w:rsidR="00D66221" w:rsidRDefault="00D66221">
      <w:pPr>
        <w:pStyle w:val="BodyText"/>
        <w:kinsoku w:val="0"/>
        <w:overflowPunct w:val="0"/>
        <w:rPr>
          <w:rFonts w:ascii="ChaletComprime-HongKongSixty" w:hAnsi="ChaletComprime-HongKongSixty" w:cs="ChaletComprime-HongKongSixty"/>
        </w:rPr>
      </w:pPr>
    </w:p>
    <w:p w14:paraId="5D5661E4" w14:textId="77777777" w:rsidR="00D66221" w:rsidRDefault="00D66221">
      <w:pPr>
        <w:pStyle w:val="BodyText"/>
        <w:kinsoku w:val="0"/>
        <w:overflowPunct w:val="0"/>
        <w:rPr>
          <w:rFonts w:ascii="ChaletComprime-HongKongSixty" w:hAnsi="ChaletComprime-HongKongSixty" w:cs="ChaletComprime-HongKongSixty"/>
        </w:rPr>
      </w:pPr>
    </w:p>
    <w:p w14:paraId="55F6450A" w14:textId="77777777" w:rsidR="00D66221" w:rsidRDefault="00D66221">
      <w:pPr>
        <w:pStyle w:val="BodyText"/>
        <w:kinsoku w:val="0"/>
        <w:overflowPunct w:val="0"/>
        <w:rPr>
          <w:rFonts w:ascii="ChaletComprime-HongKongSixty" w:hAnsi="ChaletComprime-HongKongSixty" w:cs="ChaletComprime-HongKongSixty"/>
        </w:rPr>
      </w:pPr>
    </w:p>
    <w:p w14:paraId="63C368F9" w14:textId="77777777" w:rsidR="00D66221" w:rsidRDefault="00D66221">
      <w:pPr>
        <w:pStyle w:val="BodyText"/>
        <w:kinsoku w:val="0"/>
        <w:overflowPunct w:val="0"/>
        <w:rPr>
          <w:rFonts w:ascii="ChaletComprime-HongKongSixty" w:hAnsi="ChaletComprime-HongKongSixty" w:cs="ChaletComprime-HongKongSixty"/>
        </w:rPr>
      </w:pPr>
    </w:p>
    <w:p w14:paraId="5A9EF837" w14:textId="77777777" w:rsidR="00D66221" w:rsidRDefault="00D66221">
      <w:pPr>
        <w:pStyle w:val="BodyText"/>
        <w:kinsoku w:val="0"/>
        <w:overflowPunct w:val="0"/>
        <w:spacing w:before="5"/>
        <w:rPr>
          <w:rFonts w:ascii="ChaletComprime-HongKongSixty" w:hAnsi="ChaletComprime-HongKongSixty" w:cs="ChaletComprime-HongKongSixty"/>
          <w:sz w:val="23"/>
          <w:szCs w:val="23"/>
        </w:rPr>
      </w:pPr>
    </w:p>
    <w:p w14:paraId="1FA53511" w14:textId="77777777" w:rsidR="00D66221" w:rsidRDefault="00D66221">
      <w:pPr>
        <w:pStyle w:val="BodyText"/>
        <w:kinsoku w:val="0"/>
        <w:overflowPunct w:val="0"/>
        <w:spacing w:before="92" w:line="230" w:lineRule="auto"/>
        <w:ind w:left="117" w:right="3881"/>
      </w:pPr>
      <w:r>
        <w:rPr>
          <w:rFonts w:ascii="GloriolaStd-Medium" w:hAnsi="GloriolaStd-Medium"/>
        </w:rPr>
        <w:t xml:space="preserve">Este informe se ha elaborado gracias al apoyo financiero del Programa de Derechos, Igualdad y Ciudadanía de la Comisión Europea, el Wallace Global Fund y la Human Dignity Foundation. </w:t>
      </w:r>
      <w:r>
        <w:t>El contenido de esta publicación es responsabilidad exclusiva de la Red Europea contra la Mutilación Genital Femenina (End FGM EU) y en modo alguno debe considerarse que refleja los puntos de vista de nuestros patrocinadores.</w:t>
      </w:r>
    </w:p>
    <w:p w14:paraId="1FF193E9" w14:textId="77777777" w:rsidR="00D66221" w:rsidRDefault="00D66221">
      <w:pPr>
        <w:pStyle w:val="BodyText"/>
        <w:kinsoku w:val="0"/>
        <w:overflowPunct w:val="0"/>
      </w:pPr>
    </w:p>
    <w:p w14:paraId="11C4171B" w14:textId="77777777" w:rsidR="00D66221" w:rsidRDefault="00D66221">
      <w:pPr>
        <w:pStyle w:val="BodyText"/>
        <w:kinsoku w:val="0"/>
        <w:overflowPunct w:val="0"/>
      </w:pPr>
    </w:p>
    <w:p w14:paraId="2AB728E6" w14:textId="77777777" w:rsidR="00D66221" w:rsidRDefault="00D66221">
      <w:pPr>
        <w:pStyle w:val="BodyText"/>
        <w:kinsoku w:val="0"/>
        <w:overflowPunct w:val="0"/>
      </w:pPr>
    </w:p>
    <w:p w14:paraId="4FA8BAF9" w14:textId="77777777" w:rsidR="00D66221" w:rsidRDefault="00D66221">
      <w:pPr>
        <w:pStyle w:val="BodyText"/>
        <w:kinsoku w:val="0"/>
        <w:overflowPunct w:val="0"/>
      </w:pPr>
    </w:p>
    <w:p w14:paraId="1719BDDF" w14:textId="77777777" w:rsidR="00D66221" w:rsidRDefault="00D66221">
      <w:pPr>
        <w:pStyle w:val="BodyText"/>
        <w:kinsoku w:val="0"/>
        <w:overflowPunct w:val="0"/>
      </w:pPr>
    </w:p>
    <w:p w14:paraId="5195DE91" w14:textId="77777777" w:rsidR="00D66221" w:rsidRDefault="00D66221">
      <w:pPr>
        <w:pStyle w:val="BodyText"/>
        <w:kinsoku w:val="0"/>
        <w:overflowPunct w:val="0"/>
        <w:spacing w:before="13"/>
        <w:rPr>
          <w:sz w:val="22"/>
          <w:szCs w:val="22"/>
        </w:rPr>
      </w:pPr>
    </w:p>
    <w:p w14:paraId="7D88303F" w14:textId="77777777" w:rsidR="00D66221" w:rsidRDefault="00D66221">
      <w:pPr>
        <w:pStyle w:val="BodyText"/>
        <w:kinsoku w:val="0"/>
        <w:overflowPunct w:val="0"/>
        <w:spacing w:before="85" w:line="230" w:lineRule="auto"/>
        <w:ind w:left="117" w:right="3881"/>
      </w:pPr>
      <w:r>
        <w:t>El presente documento de posición no podría haberse producido sin el apoyo de Leslie van Liempd, nuestra Asistente de Promoción, en su organización y elaboración.</w:t>
      </w:r>
    </w:p>
    <w:p w14:paraId="6CAFDD57" w14:textId="77777777" w:rsidR="00D66221" w:rsidRDefault="00D66221">
      <w:pPr>
        <w:pStyle w:val="BodyText"/>
        <w:kinsoku w:val="0"/>
        <w:overflowPunct w:val="0"/>
        <w:spacing w:before="13"/>
        <w:rPr>
          <w:sz w:val="18"/>
          <w:szCs w:val="18"/>
        </w:rPr>
      </w:pPr>
    </w:p>
    <w:p w14:paraId="31CB4792" w14:textId="77777777" w:rsidR="00D66221" w:rsidRDefault="00D66221">
      <w:pPr>
        <w:pStyle w:val="BodyText"/>
        <w:kinsoku w:val="0"/>
        <w:overflowPunct w:val="0"/>
        <w:spacing w:line="230" w:lineRule="auto"/>
        <w:ind w:left="117" w:right="3851"/>
        <w:jc w:val="both"/>
      </w:pPr>
      <w:r>
        <w:t>Gracias a Panagiota Toumazou, nuestra Asistente de Comunicaciones, y a Natalie Kontoulis, nuestra Directora de Promoción y Comunicaciones, por su valiosa ayuda en la elaboración y finalización de este documento de posición.</w:t>
      </w:r>
    </w:p>
    <w:p w14:paraId="5E857458" w14:textId="77777777" w:rsidR="00D66221" w:rsidRDefault="00D66221">
      <w:pPr>
        <w:pStyle w:val="BodyText"/>
        <w:kinsoku w:val="0"/>
        <w:overflowPunct w:val="0"/>
        <w:rPr>
          <w:sz w:val="26"/>
          <w:szCs w:val="26"/>
        </w:rPr>
      </w:pPr>
    </w:p>
    <w:p w14:paraId="40CD38AC" w14:textId="77777777" w:rsidR="00D66221" w:rsidRDefault="00D66221">
      <w:pPr>
        <w:pStyle w:val="BodyText"/>
        <w:kinsoku w:val="0"/>
        <w:overflowPunct w:val="0"/>
        <w:rPr>
          <w:sz w:val="26"/>
          <w:szCs w:val="26"/>
        </w:rPr>
      </w:pPr>
    </w:p>
    <w:p w14:paraId="1C03FD1F" w14:textId="77777777" w:rsidR="00D66221" w:rsidRDefault="00D66221">
      <w:pPr>
        <w:pStyle w:val="BodyText"/>
        <w:kinsoku w:val="0"/>
        <w:overflowPunct w:val="0"/>
        <w:rPr>
          <w:sz w:val="26"/>
          <w:szCs w:val="26"/>
        </w:rPr>
      </w:pPr>
    </w:p>
    <w:p w14:paraId="6012518C" w14:textId="77777777" w:rsidR="00D66221" w:rsidRDefault="00D66221">
      <w:pPr>
        <w:pStyle w:val="BodyText"/>
        <w:kinsoku w:val="0"/>
        <w:overflowPunct w:val="0"/>
        <w:rPr>
          <w:sz w:val="26"/>
          <w:szCs w:val="26"/>
        </w:rPr>
      </w:pPr>
    </w:p>
    <w:p w14:paraId="39CF460C" w14:textId="77777777" w:rsidR="00D66221" w:rsidRDefault="00D66221">
      <w:pPr>
        <w:pStyle w:val="BodyText"/>
        <w:kinsoku w:val="0"/>
        <w:overflowPunct w:val="0"/>
        <w:rPr>
          <w:sz w:val="26"/>
          <w:szCs w:val="26"/>
        </w:rPr>
      </w:pPr>
    </w:p>
    <w:p w14:paraId="5FBEFA32" w14:textId="77777777" w:rsidR="00D66221" w:rsidRDefault="00D66221">
      <w:pPr>
        <w:pStyle w:val="BodyText"/>
        <w:kinsoku w:val="0"/>
        <w:overflowPunct w:val="0"/>
        <w:rPr>
          <w:sz w:val="26"/>
          <w:szCs w:val="26"/>
        </w:rPr>
      </w:pPr>
    </w:p>
    <w:p w14:paraId="3C914713" w14:textId="77777777" w:rsidR="00D66221" w:rsidRDefault="00D66221">
      <w:pPr>
        <w:pStyle w:val="BodyText"/>
        <w:kinsoku w:val="0"/>
        <w:overflowPunct w:val="0"/>
        <w:rPr>
          <w:sz w:val="26"/>
          <w:szCs w:val="26"/>
        </w:rPr>
      </w:pPr>
    </w:p>
    <w:p w14:paraId="2C6087DC" w14:textId="77777777" w:rsidR="00D66221" w:rsidRDefault="00D66221">
      <w:pPr>
        <w:pStyle w:val="BodyText"/>
        <w:kinsoku w:val="0"/>
        <w:overflowPunct w:val="0"/>
        <w:rPr>
          <w:sz w:val="26"/>
          <w:szCs w:val="26"/>
        </w:rPr>
      </w:pPr>
    </w:p>
    <w:p w14:paraId="0E48C23D" w14:textId="77777777" w:rsidR="00D66221" w:rsidRDefault="00D66221">
      <w:pPr>
        <w:pStyle w:val="BodyText"/>
        <w:kinsoku w:val="0"/>
        <w:overflowPunct w:val="0"/>
        <w:spacing w:before="4"/>
        <w:rPr>
          <w:sz w:val="34"/>
          <w:szCs w:val="34"/>
        </w:rPr>
      </w:pPr>
    </w:p>
    <w:p w14:paraId="1850644C" w14:textId="77777777" w:rsidR="00D66221" w:rsidRDefault="00D66221">
      <w:pPr>
        <w:pStyle w:val="BodyText"/>
        <w:kinsoku w:val="0"/>
        <w:overflowPunct w:val="0"/>
        <w:ind w:left="117"/>
        <w:jc w:val="both"/>
        <w:rPr>
          <w:rFonts w:ascii="GloriolaStd-Medium" w:hAnsi="GloriolaStd-Medium" w:cs="GloriolaStd-Medium"/>
          <w:color w:val="A154A1"/>
          <w:sz w:val="30"/>
          <w:szCs w:val="30"/>
        </w:rPr>
      </w:pPr>
      <w:r>
        <w:rPr>
          <w:rFonts w:ascii="GloriolaStd-Medium" w:hAnsi="GloriolaStd-Medium"/>
          <w:color w:val="A154A1"/>
          <w:sz w:val="30"/>
          <w:szCs w:val="30"/>
        </w:rPr>
        <w:t>Lista de abreviaturas</w:t>
      </w:r>
    </w:p>
    <w:p w14:paraId="5F246BAF" w14:textId="77777777" w:rsidR="00D66221" w:rsidRDefault="00D66221">
      <w:pPr>
        <w:pStyle w:val="BodyText"/>
        <w:kinsoku w:val="0"/>
        <w:overflowPunct w:val="0"/>
        <w:spacing w:before="2"/>
        <w:rPr>
          <w:rFonts w:ascii="GloriolaStd-Medium" w:hAnsi="GloriolaStd-Medium" w:cs="GloriolaStd-Medium"/>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1203"/>
        <w:gridCol w:w="7868"/>
      </w:tblGrid>
      <w:tr w:rsidR="00D728C0" w14:paraId="19761F6B" w14:textId="77777777">
        <w:trPr>
          <w:trHeight w:val="317"/>
        </w:trPr>
        <w:tc>
          <w:tcPr>
            <w:tcW w:w="1203" w:type="dxa"/>
            <w:tcBorders>
              <w:top w:val="none" w:sz="6" w:space="0" w:color="auto"/>
              <w:left w:val="none" w:sz="6" w:space="0" w:color="auto"/>
              <w:bottom w:val="single" w:sz="4" w:space="0" w:color="9A258F"/>
              <w:right w:val="none" w:sz="6" w:space="0" w:color="auto"/>
            </w:tcBorders>
          </w:tcPr>
          <w:p w14:paraId="6B9703B4" w14:textId="77777777" w:rsidR="00D728C0" w:rsidRDefault="00D728C0">
            <w:pPr>
              <w:pStyle w:val="TableParagraph"/>
              <w:kinsoku w:val="0"/>
              <w:overflowPunct w:val="0"/>
              <w:spacing w:before="0" w:line="267" w:lineRule="exact"/>
              <w:rPr>
                <w:rFonts w:ascii="GloriolaStd-Medium" w:hAnsi="GloriolaStd-Medium" w:cs="GloriolaStd-Medium"/>
                <w:sz w:val="20"/>
                <w:szCs w:val="20"/>
              </w:rPr>
            </w:pPr>
            <w:r>
              <w:rPr>
                <w:rFonts w:ascii="GloriolaStd-Medium" w:hAnsi="GloriolaStd-Medium"/>
                <w:sz w:val="20"/>
                <w:szCs w:val="20"/>
              </w:rPr>
              <w:t>OSC</w:t>
            </w:r>
          </w:p>
        </w:tc>
        <w:tc>
          <w:tcPr>
            <w:tcW w:w="7868" w:type="dxa"/>
            <w:tcBorders>
              <w:top w:val="none" w:sz="6" w:space="0" w:color="auto"/>
              <w:left w:val="none" w:sz="6" w:space="0" w:color="auto"/>
              <w:bottom w:val="single" w:sz="4" w:space="0" w:color="9A258F"/>
              <w:right w:val="none" w:sz="6" w:space="0" w:color="auto"/>
            </w:tcBorders>
          </w:tcPr>
          <w:p w14:paraId="1B7603A2" w14:textId="77777777" w:rsidR="00D728C0" w:rsidRDefault="00D728C0">
            <w:pPr>
              <w:pStyle w:val="TableParagraph"/>
              <w:kinsoku w:val="0"/>
              <w:overflowPunct w:val="0"/>
              <w:spacing w:before="0" w:line="267" w:lineRule="exact"/>
              <w:ind w:left="202"/>
              <w:rPr>
                <w:sz w:val="20"/>
                <w:szCs w:val="20"/>
              </w:rPr>
            </w:pPr>
            <w:r>
              <w:rPr>
                <w:sz w:val="20"/>
                <w:szCs w:val="20"/>
              </w:rPr>
              <w:t>Organización de la sociedad civil</w:t>
            </w:r>
          </w:p>
        </w:tc>
      </w:tr>
      <w:tr w:rsidR="00D728C0" w14:paraId="374C185D"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639FFCDF" w14:textId="20F09642" w:rsidR="00D728C0" w:rsidRDefault="00C1685C">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C</w:t>
            </w:r>
            <w:r w:rsidR="00D728C0">
              <w:rPr>
                <w:rFonts w:ascii="GloriolaStd-Medium" w:hAnsi="GloriolaStd-Medium"/>
                <w:sz w:val="20"/>
                <w:szCs w:val="20"/>
              </w:rPr>
              <w:t>GF</w:t>
            </w:r>
          </w:p>
        </w:tc>
        <w:tc>
          <w:tcPr>
            <w:tcW w:w="7868" w:type="dxa"/>
            <w:tcBorders>
              <w:top w:val="single" w:sz="4" w:space="0" w:color="9A258F"/>
              <w:left w:val="none" w:sz="6" w:space="0" w:color="auto"/>
              <w:bottom w:val="single" w:sz="4" w:space="0" w:color="9A258F"/>
              <w:right w:val="none" w:sz="6" w:space="0" w:color="auto"/>
            </w:tcBorders>
          </w:tcPr>
          <w:p w14:paraId="0BB4EF46" w14:textId="339466FA" w:rsidR="00D728C0" w:rsidRDefault="00C1685C">
            <w:pPr>
              <w:pStyle w:val="TableParagraph"/>
              <w:kinsoku w:val="0"/>
              <w:overflowPunct w:val="0"/>
              <w:ind w:left="202"/>
              <w:rPr>
                <w:sz w:val="20"/>
                <w:szCs w:val="20"/>
              </w:rPr>
            </w:pPr>
            <w:r>
              <w:rPr>
                <w:sz w:val="20"/>
                <w:szCs w:val="20"/>
              </w:rPr>
              <w:t xml:space="preserve">Corte </w:t>
            </w:r>
            <w:r w:rsidR="00D728C0">
              <w:rPr>
                <w:sz w:val="20"/>
                <w:szCs w:val="20"/>
              </w:rPr>
              <w:t>genital femenin</w:t>
            </w:r>
            <w:r>
              <w:rPr>
                <w:sz w:val="20"/>
                <w:szCs w:val="20"/>
              </w:rPr>
              <w:t>o</w:t>
            </w:r>
          </w:p>
        </w:tc>
      </w:tr>
      <w:tr w:rsidR="00D728C0" w14:paraId="6A5016A2"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7D4F69A5"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M/AGF</w:t>
            </w:r>
          </w:p>
        </w:tc>
        <w:tc>
          <w:tcPr>
            <w:tcW w:w="7868" w:type="dxa"/>
            <w:tcBorders>
              <w:top w:val="single" w:sz="4" w:space="0" w:color="9A258F"/>
              <w:left w:val="none" w:sz="6" w:space="0" w:color="auto"/>
              <w:bottom w:val="single" w:sz="4" w:space="0" w:color="9A258F"/>
              <w:right w:val="none" w:sz="6" w:space="0" w:color="auto"/>
            </w:tcBorders>
          </w:tcPr>
          <w:p w14:paraId="6A94D22E" w14:textId="1A36CC90" w:rsidR="00D728C0" w:rsidRDefault="00D728C0">
            <w:pPr>
              <w:pStyle w:val="TableParagraph"/>
              <w:kinsoku w:val="0"/>
              <w:overflowPunct w:val="0"/>
              <w:ind w:left="202"/>
              <w:rPr>
                <w:sz w:val="20"/>
                <w:szCs w:val="20"/>
              </w:rPr>
            </w:pPr>
            <w:r>
              <w:rPr>
                <w:sz w:val="20"/>
                <w:szCs w:val="20"/>
              </w:rPr>
              <w:t xml:space="preserve">Mutilación / </w:t>
            </w:r>
            <w:r w:rsidR="00C1685C">
              <w:rPr>
                <w:sz w:val="20"/>
                <w:szCs w:val="20"/>
              </w:rPr>
              <w:t xml:space="preserve">corte </w:t>
            </w:r>
            <w:r>
              <w:rPr>
                <w:sz w:val="20"/>
                <w:szCs w:val="20"/>
              </w:rPr>
              <w:t>genital femenin</w:t>
            </w:r>
            <w:r w:rsidR="00C1685C">
              <w:rPr>
                <w:sz w:val="20"/>
                <w:szCs w:val="20"/>
              </w:rPr>
              <w:t>o</w:t>
            </w:r>
          </w:p>
        </w:tc>
      </w:tr>
      <w:tr w:rsidR="00D728C0" w14:paraId="04AD747A"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1D814295"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MGF</w:t>
            </w:r>
          </w:p>
        </w:tc>
        <w:tc>
          <w:tcPr>
            <w:tcW w:w="7868" w:type="dxa"/>
            <w:tcBorders>
              <w:top w:val="single" w:sz="4" w:space="0" w:color="9A258F"/>
              <w:left w:val="none" w:sz="6" w:space="0" w:color="auto"/>
              <w:bottom w:val="single" w:sz="4" w:space="0" w:color="9A258F"/>
              <w:right w:val="none" w:sz="6" w:space="0" w:color="auto"/>
            </w:tcBorders>
          </w:tcPr>
          <w:p w14:paraId="02E42008" w14:textId="77777777" w:rsidR="00D728C0" w:rsidRDefault="00D728C0">
            <w:pPr>
              <w:pStyle w:val="TableParagraph"/>
              <w:kinsoku w:val="0"/>
              <w:overflowPunct w:val="0"/>
              <w:ind w:left="202"/>
              <w:rPr>
                <w:sz w:val="20"/>
                <w:szCs w:val="20"/>
              </w:rPr>
            </w:pPr>
            <w:r>
              <w:rPr>
                <w:sz w:val="20"/>
                <w:szCs w:val="20"/>
              </w:rPr>
              <w:t>Mutilación genital femenina</w:t>
            </w:r>
          </w:p>
        </w:tc>
      </w:tr>
      <w:tr w:rsidR="00D728C0" w14:paraId="4886A760"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0D5A2E30"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OMS</w:t>
            </w:r>
          </w:p>
        </w:tc>
        <w:tc>
          <w:tcPr>
            <w:tcW w:w="7868" w:type="dxa"/>
            <w:tcBorders>
              <w:top w:val="single" w:sz="4" w:space="0" w:color="9A258F"/>
              <w:left w:val="none" w:sz="6" w:space="0" w:color="auto"/>
              <w:bottom w:val="single" w:sz="4" w:space="0" w:color="9A258F"/>
              <w:right w:val="none" w:sz="6" w:space="0" w:color="auto"/>
            </w:tcBorders>
          </w:tcPr>
          <w:p w14:paraId="57AAA4F1" w14:textId="77777777" w:rsidR="00D728C0" w:rsidRDefault="00D728C0">
            <w:pPr>
              <w:pStyle w:val="TableParagraph"/>
              <w:kinsoku w:val="0"/>
              <w:overflowPunct w:val="0"/>
              <w:ind w:left="202"/>
              <w:rPr>
                <w:sz w:val="20"/>
                <w:szCs w:val="20"/>
              </w:rPr>
            </w:pPr>
            <w:r>
              <w:rPr>
                <w:sz w:val="20"/>
                <w:szCs w:val="20"/>
              </w:rPr>
              <w:t>Organización Mundial de la Salud</w:t>
            </w:r>
          </w:p>
        </w:tc>
      </w:tr>
      <w:tr w:rsidR="00D728C0" w14:paraId="381A4D4F"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70CFECBB"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ONG</w:t>
            </w:r>
          </w:p>
        </w:tc>
        <w:tc>
          <w:tcPr>
            <w:tcW w:w="7868" w:type="dxa"/>
            <w:tcBorders>
              <w:top w:val="single" w:sz="4" w:space="0" w:color="9A258F"/>
              <w:left w:val="none" w:sz="6" w:space="0" w:color="auto"/>
              <w:bottom w:val="single" w:sz="4" w:space="0" w:color="9A258F"/>
              <w:right w:val="none" w:sz="6" w:space="0" w:color="auto"/>
            </w:tcBorders>
          </w:tcPr>
          <w:p w14:paraId="73B9C07C" w14:textId="77777777" w:rsidR="00D728C0" w:rsidRDefault="00D728C0">
            <w:pPr>
              <w:pStyle w:val="TableParagraph"/>
              <w:kinsoku w:val="0"/>
              <w:overflowPunct w:val="0"/>
              <w:ind w:left="202"/>
              <w:rPr>
                <w:sz w:val="20"/>
                <w:szCs w:val="20"/>
              </w:rPr>
            </w:pPr>
            <w:r>
              <w:rPr>
                <w:sz w:val="20"/>
                <w:szCs w:val="20"/>
              </w:rPr>
              <w:t>Organización no gubernamental</w:t>
            </w:r>
          </w:p>
        </w:tc>
      </w:tr>
      <w:tr w:rsidR="00D728C0" w14:paraId="55B81A3F" w14:textId="77777777">
        <w:trPr>
          <w:trHeight w:val="368"/>
        </w:trPr>
        <w:tc>
          <w:tcPr>
            <w:tcW w:w="1203" w:type="dxa"/>
            <w:tcBorders>
              <w:top w:val="single" w:sz="4" w:space="0" w:color="9A258F"/>
              <w:left w:val="none" w:sz="6" w:space="0" w:color="auto"/>
              <w:bottom w:val="single" w:sz="4" w:space="0" w:color="9A258F"/>
              <w:right w:val="none" w:sz="6" w:space="0" w:color="auto"/>
            </w:tcBorders>
          </w:tcPr>
          <w:p w14:paraId="641497B4"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ONU-Mujeres</w:t>
            </w:r>
          </w:p>
        </w:tc>
        <w:tc>
          <w:tcPr>
            <w:tcW w:w="7868" w:type="dxa"/>
            <w:tcBorders>
              <w:top w:val="single" w:sz="4" w:space="0" w:color="9A258F"/>
              <w:left w:val="none" w:sz="6" w:space="0" w:color="auto"/>
              <w:bottom w:val="single" w:sz="4" w:space="0" w:color="9A258F"/>
              <w:right w:val="none" w:sz="6" w:space="0" w:color="auto"/>
            </w:tcBorders>
          </w:tcPr>
          <w:p w14:paraId="050CC397" w14:textId="4F73F862" w:rsidR="00D728C0" w:rsidRDefault="00C1685C">
            <w:pPr>
              <w:pStyle w:val="TableParagraph"/>
              <w:kinsoku w:val="0"/>
              <w:overflowPunct w:val="0"/>
              <w:ind w:left="202"/>
              <w:rPr>
                <w:sz w:val="20"/>
                <w:szCs w:val="20"/>
              </w:rPr>
            </w:pPr>
            <w:r>
              <w:rPr>
                <w:sz w:val="20"/>
                <w:szCs w:val="20"/>
              </w:rPr>
              <w:t>O</w:t>
            </w:r>
            <w:r w:rsidRPr="00C1685C">
              <w:rPr>
                <w:sz w:val="20"/>
                <w:szCs w:val="20"/>
              </w:rPr>
              <w:t>rganización de las Naciones Unidas dedicada a promover la igualdad de género y el empoderamiento de las mujeres</w:t>
            </w:r>
            <w:r>
              <w:rPr>
                <w:sz w:val="20"/>
                <w:szCs w:val="20"/>
              </w:rPr>
              <w:t xml:space="preserve"> </w:t>
            </w:r>
          </w:p>
        </w:tc>
      </w:tr>
      <w:tr w:rsidR="00D728C0" w14:paraId="27B80E08" w14:textId="77777777">
        <w:trPr>
          <w:trHeight w:val="365"/>
        </w:trPr>
        <w:tc>
          <w:tcPr>
            <w:tcW w:w="1203" w:type="dxa"/>
            <w:tcBorders>
              <w:top w:val="single" w:sz="4" w:space="0" w:color="9A258F"/>
              <w:left w:val="none" w:sz="6" w:space="0" w:color="auto"/>
              <w:bottom w:val="single" w:sz="6" w:space="0" w:color="9A258F"/>
              <w:right w:val="none" w:sz="6" w:space="0" w:color="auto"/>
            </w:tcBorders>
          </w:tcPr>
          <w:p w14:paraId="12D3CB0A" w14:textId="77777777" w:rsidR="00D728C0" w:rsidRDefault="00D728C0">
            <w:pPr>
              <w:pStyle w:val="TableParagraph"/>
              <w:kinsoku w:val="0"/>
              <w:overflowPunct w:val="0"/>
              <w:rPr>
                <w:rFonts w:ascii="GloriolaStd-Medium" w:hAnsi="GloriolaStd-Medium" w:cs="GloriolaStd-Medium"/>
                <w:sz w:val="20"/>
                <w:szCs w:val="20"/>
              </w:rPr>
            </w:pPr>
            <w:r>
              <w:rPr>
                <w:rFonts w:ascii="GloriolaStd-Medium" w:hAnsi="GloriolaStd-Medium"/>
                <w:sz w:val="20"/>
                <w:szCs w:val="20"/>
              </w:rPr>
              <w:t>UNFPA</w:t>
            </w:r>
          </w:p>
        </w:tc>
        <w:tc>
          <w:tcPr>
            <w:tcW w:w="7868" w:type="dxa"/>
            <w:tcBorders>
              <w:top w:val="single" w:sz="4" w:space="0" w:color="9A258F"/>
              <w:left w:val="none" w:sz="6" w:space="0" w:color="auto"/>
              <w:bottom w:val="single" w:sz="6" w:space="0" w:color="9A258F"/>
              <w:right w:val="none" w:sz="6" w:space="0" w:color="auto"/>
            </w:tcBorders>
          </w:tcPr>
          <w:p w14:paraId="6221048A" w14:textId="77777777" w:rsidR="00D728C0" w:rsidRDefault="00D728C0">
            <w:pPr>
              <w:pStyle w:val="TableParagraph"/>
              <w:kinsoku w:val="0"/>
              <w:overflowPunct w:val="0"/>
              <w:ind w:left="202"/>
              <w:rPr>
                <w:sz w:val="20"/>
                <w:szCs w:val="20"/>
              </w:rPr>
            </w:pPr>
            <w:r>
              <w:rPr>
                <w:sz w:val="20"/>
                <w:szCs w:val="20"/>
              </w:rPr>
              <w:t>Fondo de Población de las Naciones Unidas</w:t>
            </w:r>
          </w:p>
        </w:tc>
      </w:tr>
      <w:tr w:rsidR="00D728C0" w14:paraId="4EB23054" w14:textId="77777777">
        <w:trPr>
          <w:trHeight w:val="365"/>
        </w:trPr>
        <w:tc>
          <w:tcPr>
            <w:tcW w:w="1203" w:type="dxa"/>
            <w:tcBorders>
              <w:top w:val="single" w:sz="6" w:space="0" w:color="9A258F"/>
              <w:left w:val="none" w:sz="6" w:space="0" w:color="auto"/>
              <w:bottom w:val="single" w:sz="4" w:space="0" w:color="9A258F"/>
              <w:right w:val="none" w:sz="6" w:space="0" w:color="auto"/>
            </w:tcBorders>
          </w:tcPr>
          <w:p w14:paraId="5AFF11F6" w14:textId="77777777" w:rsidR="00D728C0" w:rsidRDefault="00D728C0">
            <w:pPr>
              <w:pStyle w:val="TableParagraph"/>
              <w:kinsoku w:val="0"/>
              <w:overflowPunct w:val="0"/>
              <w:spacing w:before="30"/>
              <w:rPr>
                <w:rFonts w:ascii="GloriolaStd-Medium" w:hAnsi="GloriolaStd-Medium" w:cs="GloriolaStd-Medium"/>
                <w:sz w:val="20"/>
                <w:szCs w:val="20"/>
              </w:rPr>
            </w:pPr>
            <w:r>
              <w:rPr>
                <w:rFonts w:ascii="GloriolaStd-Medium" w:hAnsi="GloriolaStd-Medium"/>
                <w:sz w:val="20"/>
                <w:szCs w:val="20"/>
              </w:rPr>
              <w:t>UNICEF</w:t>
            </w:r>
          </w:p>
        </w:tc>
        <w:tc>
          <w:tcPr>
            <w:tcW w:w="7868" w:type="dxa"/>
            <w:tcBorders>
              <w:top w:val="single" w:sz="6" w:space="0" w:color="9A258F"/>
              <w:left w:val="none" w:sz="6" w:space="0" w:color="auto"/>
              <w:bottom w:val="single" w:sz="4" w:space="0" w:color="9A258F"/>
              <w:right w:val="none" w:sz="6" w:space="0" w:color="auto"/>
            </w:tcBorders>
          </w:tcPr>
          <w:p w14:paraId="0660E808" w14:textId="77777777" w:rsidR="00D728C0" w:rsidRDefault="00D728C0">
            <w:pPr>
              <w:pStyle w:val="TableParagraph"/>
              <w:kinsoku w:val="0"/>
              <w:overflowPunct w:val="0"/>
              <w:spacing w:before="30"/>
              <w:ind w:left="202"/>
              <w:rPr>
                <w:sz w:val="20"/>
                <w:szCs w:val="20"/>
              </w:rPr>
            </w:pPr>
            <w:r>
              <w:rPr>
                <w:sz w:val="20"/>
                <w:szCs w:val="20"/>
              </w:rPr>
              <w:t>Fondo de las Naciones Unidas para la Infancia</w:t>
            </w:r>
          </w:p>
        </w:tc>
      </w:tr>
    </w:tbl>
    <w:p w14:paraId="4203491F" w14:textId="77777777" w:rsidR="00D66221" w:rsidRDefault="00D66221">
      <w:pPr>
        <w:rPr>
          <w:rFonts w:ascii="GloriolaStd-Medium" w:hAnsi="GloriolaStd-Medium" w:cs="GloriolaStd-Medium"/>
          <w:sz w:val="15"/>
          <w:szCs w:val="15"/>
        </w:rPr>
        <w:sectPr w:rsidR="00D66221">
          <w:pgSz w:w="11910" w:h="16840"/>
          <w:pgMar w:top="1580" w:right="0" w:bottom="280" w:left="1300" w:header="720" w:footer="720" w:gutter="0"/>
          <w:cols w:space="720"/>
          <w:noEndnote/>
        </w:sectPr>
      </w:pPr>
    </w:p>
    <w:p w14:paraId="1318FDA9" w14:textId="77777777" w:rsidR="00D66221" w:rsidRDefault="00D66221">
      <w:pPr>
        <w:pStyle w:val="BodyText"/>
        <w:kinsoku w:val="0"/>
        <w:overflowPunct w:val="0"/>
        <w:spacing w:before="3"/>
        <w:rPr>
          <w:rFonts w:ascii="GloriolaStd-Medium" w:hAnsi="GloriolaStd-Medium" w:cs="GloriolaStd-Medium"/>
          <w:sz w:val="8"/>
          <w:szCs w:val="8"/>
        </w:rPr>
      </w:pPr>
    </w:p>
    <w:p w14:paraId="40C7F63D" w14:textId="77777777" w:rsidR="00D66221" w:rsidRDefault="00D66221">
      <w:pPr>
        <w:pStyle w:val="Heading1"/>
        <w:kinsoku w:val="0"/>
        <w:overflowPunct w:val="0"/>
        <w:rPr>
          <w:color w:val="BCBEC0"/>
        </w:rPr>
      </w:pPr>
      <w:r>
        <w:rPr>
          <w:color w:val="BCBEC0"/>
        </w:rPr>
        <w:t>Índice</w:t>
      </w:r>
    </w:p>
    <w:p w14:paraId="523E64B1" w14:textId="77777777" w:rsidR="00D66221" w:rsidRDefault="00D66221">
      <w:pPr>
        <w:pStyle w:val="BodyText"/>
        <w:kinsoku w:val="0"/>
        <w:overflowPunct w:val="0"/>
        <w:spacing w:before="8"/>
        <w:rPr>
          <w:rFonts w:ascii="ChaletComprime-HongKongSixty" w:hAnsi="ChaletComprime-HongKongSixty" w:cs="ChaletComprime-HongKongSixty"/>
          <w:sz w:val="109"/>
          <w:szCs w:val="109"/>
        </w:rPr>
      </w:pPr>
    </w:p>
    <w:p w14:paraId="3EA9AEAC" w14:textId="77777777" w:rsidR="00D66221" w:rsidRDefault="002F6241">
      <w:pPr>
        <w:pStyle w:val="Heading3"/>
        <w:tabs>
          <w:tab w:val="right" w:leader="dot" w:pos="9188"/>
        </w:tabs>
        <w:kinsoku w:val="0"/>
        <w:overflowPunct w:val="0"/>
        <w:spacing w:before="0"/>
        <w:rPr>
          <w:color w:val="9A258F"/>
        </w:rPr>
      </w:pPr>
      <w:hyperlink w:anchor="bookmark0" w:history="1">
        <w:r w:rsidR="00435287">
          <w:rPr>
            <w:color w:val="9A258F"/>
          </w:rPr>
          <w:t>Introducción</w:t>
        </w:r>
        <w:r w:rsidR="00435287">
          <w:rPr>
            <w:color w:val="9A258F"/>
          </w:rPr>
          <w:tab/>
          <w:t>2</w:t>
        </w:r>
      </w:hyperlink>
    </w:p>
    <w:p w14:paraId="0E9EC432" w14:textId="77777777" w:rsidR="00D66221" w:rsidRDefault="002F6241">
      <w:pPr>
        <w:pStyle w:val="ListParagraph"/>
        <w:numPr>
          <w:ilvl w:val="0"/>
          <w:numId w:val="4"/>
        </w:numPr>
        <w:tabs>
          <w:tab w:val="left" w:pos="571"/>
          <w:tab w:val="right" w:leader="dot" w:pos="9188"/>
        </w:tabs>
        <w:kinsoku w:val="0"/>
        <w:overflowPunct w:val="0"/>
        <w:spacing w:before="427"/>
        <w:ind w:hanging="453"/>
        <w:rPr>
          <w:rFonts w:ascii="ChaletComprime" w:hAnsi="ChaletComprime" w:cs="ChaletComprime"/>
          <w:color w:val="9A258F"/>
          <w:sz w:val="36"/>
          <w:szCs w:val="36"/>
        </w:rPr>
      </w:pPr>
      <w:hyperlink w:anchor="bookmark1" w:history="1">
        <w:r w:rsidR="00435287">
          <w:rPr>
            <w:rFonts w:ascii="ChaletComprime" w:hAnsi="ChaletComprime"/>
            <w:color w:val="9A258F"/>
            <w:sz w:val="36"/>
            <w:szCs w:val="36"/>
          </w:rPr>
          <w:t>Comprender la terminología en torno a la MGF</w:t>
        </w:r>
        <w:r w:rsidR="00435287">
          <w:rPr>
            <w:rFonts w:ascii="ChaletComprime" w:hAnsi="ChaletComprime"/>
            <w:color w:val="9A258F"/>
            <w:sz w:val="36"/>
            <w:szCs w:val="36"/>
          </w:rPr>
          <w:tab/>
          <w:t>3</w:t>
        </w:r>
      </w:hyperlink>
    </w:p>
    <w:p w14:paraId="7BD95F1E" w14:textId="77777777" w:rsidR="00D66221" w:rsidRDefault="002F6241">
      <w:pPr>
        <w:pStyle w:val="ListParagraph"/>
        <w:numPr>
          <w:ilvl w:val="1"/>
          <w:numId w:val="4"/>
        </w:numPr>
        <w:tabs>
          <w:tab w:val="left" w:pos="1025"/>
          <w:tab w:val="right" w:leader="dot" w:pos="9188"/>
        </w:tabs>
        <w:kinsoku w:val="0"/>
        <w:overflowPunct w:val="0"/>
        <w:spacing w:before="233"/>
        <w:rPr>
          <w:rFonts w:ascii="ChaletComprime" w:hAnsi="ChaletComprime" w:cs="ChaletComprime"/>
          <w:sz w:val="28"/>
          <w:szCs w:val="28"/>
        </w:rPr>
      </w:pPr>
      <w:hyperlink w:anchor="bookmark1" w:history="1">
        <w:r w:rsidR="00435287">
          <w:rPr>
            <w:rFonts w:ascii="ChaletComprime" w:hAnsi="ChaletComprime"/>
            <w:sz w:val="28"/>
            <w:szCs w:val="28"/>
          </w:rPr>
          <w:t>Definición y tipología</w:t>
        </w:r>
        <w:r w:rsidR="00435287">
          <w:rPr>
            <w:rFonts w:ascii="ChaletComprime" w:hAnsi="ChaletComprime"/>
            <w:sz w:val="28"/>
            <w:szCs w:val="28"/>
          </w:rPr>
          <w:tab/>
          <w:t>3</w:t>
        </w:r>
      </w:hyperlink>
    </w:p>
    <w:p w14:paraId="5D230180" w14:textId="77777777" w:rsidR="00D66221" w:rsidRDefault="002F6241">
      <w:pPr>
        <w:pStyle w:val="ListParagraph"/>
        <w:numPr>
          <w:ilvl w:val="1"/>
          <w:numId w:val="4"/>
        </w:numPr>
        <w:tabs>
          <w:tab w:val="left" w:pos="1025"/>
          <w:tab w:val="right" w:leader="dot" w:pos="9188"/>
        </w:tabs>
        <w:kinsoku w:val="0"/>
        <w:overflowPunct w:val="0"/>
        <w:spacing w:before="220"/>
        <w:rPr>
          <w:rFonts w:ascii="ChaletComprime" w:hAnsi="ChaletComprime" w:cs="ChaletComprime"/>
          <w:sz w:val="28"/>
          <w:szCs w:val="28"/>
        </w:rPr>
      </w:pPr>
      <w:hyperlink w:anchor="bookmark2" w:history="1">
        <w:r w:rsidR="00435287">
          <w:rPr>
            <w:rFonts w:ascii="ChaletComprime" w:hAnsi="ChaletComprime"/>
            <w:sz w:val="28"/>
            <w:szCs w:val="28"/>
          </w:rPr>
          <w:t>La variedad de términos relativos a la MGF</w:t>
        </w:r>
        <w:r w:rsidR="00435287">
          <w:rPr>
            <w:rFonts w:ascii="ChaletComprime" w:hAnsi="ChaletComprime"/>
            <w:sz w:val="28"/>
            <w:szCs w:val="28"/>
          </w:rPr>
          <w:tab/>
          <w:t>4</w:t>
        </w:r>
      </w:hyperlink>
    </w:p>
    <w:p w14:paraId="22FD723B" w14:textId="77777777" w:rsidR="00D66221" w:rsidRDefault="002F6241">
      <w:pPr>
        <w:pStyle w:val="ListParagraph"/>
        <w:numPr>
          <w:ilvl w:val="1"/>
          <w:numId w:val="4"/>
        </w:numPr>
        <w:tabs>
          <w:tab w:val="left" w:pos="1025"/>
          <w:tab w:val="right" w:leader="dot" w:pos="9188"/>
        </w:tabs>
        <w:kinsoku w:val="0"/>
        <w:overflowPunct w:val="0"/>
        <w:spacing w:before="220"/>
        <w:rPr>
          <w:rFonts w:ascii="ChaletComprime" w:hAnsi="ChaletComprime" w:cs="ChaletComprime"/>
          <w:sz w:val="28"/>
          <w:szCs w:val="28"/>
        </w:rPr>
      </w:pPr>
      <w:hyperlink w:anchor="bookmark3" w:history="1">
        <w:r w:rsidR="00435287">
          <w:rPr>
            <w:rFonts w:ascii="ChaletComprime" w:hAnsi="ChaletComprime"/>
            <w:sz w:val="28"/>
            <w:szCs w:val="28"/>
          </w:rPr>
          <w:t>La Red y el uso del término MGF</w:t>
        </w:r>
        <w:r w:rsidR="00435287">
          <w:rPr>
            <w:rFonts w:ascii="ChaletComprime" w:hAnsi="ChaletComprime"/>
            <w:sz w:val="28"/>
            <w:szCs w:val="28"/>
          </w:rPr>
          <w:tab/>
          <w:t>5</w:t>
        </w:r>
      </w:hyperlink>
    </w:p>
    <w:p w14:paraId="7013F608" w14:textId="77777777" w:rsidR="00D66221" w:rsidRDefault="002F6241">
      <w:pPr>
        <w:pStyle w:val="ListParagraph"/>
        <w:numPr>
          <w:ilvl w:val="0"/>
          <w:numId w:val="4"/>
        </w:numPr>
        <w:tabs>
          <w:tab w:val="left" w:pos="571"/>
          <w:tab w:val="right" w:leader="dot" w:pos="9188"/>
        </w:tabs>
        <w:kinsoku w:val="0"/>
        <w:overflowPunct w:val="0"/>
        <w:spacing w:before="415"/>
        <w:ind w:hanging="453"/>
        <w:rPr>
          <w:rFonts w:ascii="ChaletComprime" w:hAnsi="ChaletComprime" w:cs="ChaletComprime"/>
          <w:color w:val="9A258F"/>
          <w:sz w:val="36"/>
          <w:szCs w:val="36"/>
        </w:rPr>
      </w:pPr>
      <w:hyperlink w:anchor="bookmark4" w:history="1">
        <w:r w:rsidR="00435287">
          <w:rPr>
            <w:rFonts w:ascii="ChaletComprime" w:hAnsi="ChaletComprime"/>
            <w:color w:val="9A258F"/>
            <w:sz w:val="36"/>
            <w:szCs w:val="36"/>
          </w:rPr>
          <w:t>Empoderamiento, precisión y no estigmatización</w:t>
        </w:r>
        <w:r w:rsidR="00435287">
          <w:rPr>
            <w:rFonts w:ascii="ChaletComprime" w:hAnsi="ChaletComprime"/>
            <w:color w:val="9A258F"/>
            <w:sz w:val="36"/>
            <w:szCs w:val="36"/>
          </w:rPr>
          <w:tab/>
          <w:t>8</w:t>
        </w:r>
      </w:hyperlink>
    </w:p>
    <w:p w14:paraId="48D27E60" w14:textId="77777777" w:rsidR="00D66221" w:rsidRDefault="002F6241">
      <w:pPr>
        <w:pStyle w:val="ListParagraph"/>
        <w:numPr>
          <w:ilvl w:val="1"/>
          <w:numId w:val="4"/>
        </w:numPr>
        <w:tabs>
          <w:tab w:val="left" w:pos="1025"/>
          <w:tab w:val="right" w:leader="dot" w:pos="9188"/>
        </w:tabs>
        <w:kinsoku w:val="0"/>
        <w:overflowPunct w:val="0"/>
        <w:spacing w:before="233"/>
        <w:rPr>
          <w:rFonts w:ascii="ChaletComprime" w:hAnsi="ChaletComprime" w:cs="ChaletComprime"/>
          <w:sz w:val="28"/>
          <w:szCs w:val="28"/>
        </w:rPr>
      </w:pPr>
      <w:hyperlink w:anchor="bookmark4" w:history="1">
        <w:r w:rsidR="00435287">
          <w:rPr>
            <w:rFonts w:ascii="ChaletComprime" w:hAnsi="ChaletComprime"/>
            <w:sz w:val="28"/>
            <w:szCs w:val="28"/>
          </w:rPr>
          <w:t>Terminología del empoderamiento</w:t>
        </w:r>
        <w:r w:rsidR="00435287">
          <w:rPr>
            <w:rFonts w:ascii="ChaletComprime" w:hAnsi="ChaletComprime"/>
            <w:sz w:val="28"/>
            <w:szCs w:val="28"/>
          </w:rPr>
          <w:tab/>
          <w:t>8</w:t>
        </w:r>
      </w:hyperlink>
    </w:p>
    <w:p w14:paraId="4E471140" w14:textId="77777777" w:rsidR="00D66221" w:rsidRDefault="002F6241">
      <w:pPr>
        <w:pStyle w:val="ListParagraph"/>
        <w:numPr>
          <w:ilvl w:val="1"/>
          <w:numId w:val="4"/>
        </w:numPr>
        <w:tabs>
          <w:tab w:val="left" w:pos="1025"/>
          <w:tab w:val="right" w:leader="dot" w:pos="9188"/>
        </w:tabs>
        <w:kinsoku w:val="0"/>
        <w:overflowPunct w:val="0"/>
        <w:spacing w:before="220"/>
        <w:rPr>
          <w:rFonts w:ascii="ChaletComprime" w:hAnsi="ChaletComprime" w:cs="ChaletComprime"/>
          <w:sz w:val="28"/>
          <w:szCs w:val="28"/>
        </w:rPr>
      </w:pPr>
      <w:hyperlink w:anchor="bookmark5" w:history="1">
        <w:r w:rsidR="00435287">
          <w:rPr>
            <w:rFonts w:ascii="ChaletComprime" w:hAnsi="ChaletComprime"/>
            <w:sz w:val="28"/>
            <w:szCs w:val="28"/>
          </w:rPr>
          <w:t>Narrativas precisas sobre la MGF</w:t>
        </w:r>
        <w:r w:rsidR="00435287">
          <w:rPr>
            <w:rFonts w:ascii="ChaletComprime" w:hAnsi="ChaletComprime"/>
            <w:sz w:val="28"/>
            <w:szCs w:val="28"/>
          </w:rPr>
          <w:tab/>
          <w:t>9</w:t>
        </w:r>
      </w:hyperlink>
    </w:p>
    <w:p w14:paraId="176D9F11" w14:textId="77777777" w:rsidR="00D66221" w:rsidRDefault="002F6241">
      <w:pPr>
        <w:pStyle w:val="ListParagraph"/>
        <w:numPr>
          <w:ilvl w:val="1"/>
          <w:numId w:val="4"/>
        </w:numPr>
        <w:tabs>
          <w:tab w:val="left" w:pos="1025"/>
          <w:tab w:val="right" w:leader="dot" w:pos="9190"/>
        </w:tabs>
        <w:kinsoku w:val="0"/>
        <w:overflowPunct w:val="0"/>
        <w:spacing w:before="220"/>
        <w:rPr>
          <w:rFonts w:ascii="ChaletComprime" w:hAnsi="ChaletComprime" w:cs="ChaletComprime"/>
          <w:sz w:val="28"/>
          <w:szCs w:val="28"/>
        </w:rPr>
      </w:pPr>
      <w:hyperlink w:anchor="bookmark6" w:history="1">
        <w:r w:rsidR="00435287">
          <w:rPr>
            <w:rFonts w:ascii="ChaletComprime" w:hAnsi="ChaletComprime"/>
            <w:sz w:val="28"/>
            <w:szCs w:val="28"/>
          </w:rPr>
          <w:t>Lenguaje no estigmatizador</w:t>
        </w:r>
        <w:r w:rsidR="00435287">
          <w:rPr>
            <w:rFonts w:ascii="ChaletComprime" w:hAnsi="ChaletComprime"/>
            <w:sz w:val="28"/>
            <w:szCs w:val="28"/>
          </w:rPr>
          <w:tab/>
          <w:t>11</w:t>
        </w:r>
      </w:hyperlink>
    </w:p>
    <w:p w14:paraId="637C0858" w14:textId="77777777" w:rsidR="00D66221" w:rsidRDefault="002F6241">
      <w:pPr>
        <w:pStyle w:val="BodyText"/>
        <w:tabs>
          <w:tab w:val="right" w:leader="dot" w:pos="9187"/>
        </w:tabs>
        <w:kinsoku w:val="0"/>
        <w:overflowPunct w:val="0"/>
        <w:spacing w:before="415"/>
        <w:ind w:left="117"/>
        <w:rPr>
          <w:rFonts w:ascii="ChaletComprime" w:hAnsi="ChaletComprime" w:cs="ChaletComprime"/>
          <w:color w:val="9A258F"/>
          <w:sz w:val="36"/>
          <w:szCs w:val="36"/>
        </w:rPr>
      </w:pPr>
      <w:hyperlink w:anchor="bookmark7" w:history="1">
        <w:r w:rsidR="00435287">
          <w:rPr>
            <w:rFonts w:ascii="ChaletComprime" w:hAnsi="ChaletComprime"/>
            <w:color w:val="9A258F"/>
            <w:sz w:val="36"/>
            <w:szCs w:val="36"/>
          </w:rPr>
          <w:t>Resumen</w:t>
        </w:r>
        <w:r w:rsidR="00435287">
          <w:rPr>
            <w:rFonts w:ascii="ChaletComprime" w:hAnsi="ChaletComprime"/>
            <w:color w:val="9A258F"/>
            <w:sz w:val="36"/>
            <w:szCs w:val="36"/>
          </w:rPr>
          <w:tab/>
          <w:t>13</w:t>
        </w:r>
      </w:hyperlink>
    </w:p>
    <w:p w14:paraId="28590883" w14:textId="77777777" w:rsidR="00D66221" w:rsidRDefault="00D66221">
      <w:pPr>
        <w:pStyle w:val="BodyText"/>
        <w:tabs>
          <w:tab w:val="right" w:leader="dot" w:pos="9187"/>
        </w:tabs>
        <w:kinsoku w:val="0"/>
        <w:overflowPunct w:val="0"/>
        <w:spacing w:before="415"/>
        <w:ind w:left="117"/>
        <w:rPr>
          <w:rFonts w:ascii="ChaletComprime" w:hAnsi="ChaletComprime" w:cs="ChaletComprime"/>
          <w:color w:val="9A258F"/>
          <w:sz w:val="36"/>
          <w:szCs w:val="36"/>
        </w:rPr>
        <w:sectPr w:rsidR="00D66221">
          <w:pgSz w:w="11910" w:h="16840"/>
          <w:pgMar w:top="1580" w:right="0" w:bottom="280" w:left="1300" w:header="720" w:footer="720" w:gutter="0"/>
          <w:cols w:space="720"/>
          <w:noEndnote/>
        </w:sectPr>
      </w:pPr>
    </w:p>
    <w:p w14:paraId="7AA85CAF" w14:textId="77777777" w:rsidR="00D66221" w:rsidRDefault="00D66221">
      <w:pPr>
        <w:pStyle w:val="BodyText"/>
        <w:kinsoku w:val="0"/>
        <w:overflowPunct w:val="0"/>
        <w:spacing w:before="149"/>
        <w:ind w:left="117"/>
        <w:rPr>
          <w:rFonts w:ascii="ChaletComprime-HongKongSixty" w:hAnsi="ChaletComprime-HongKongSixty" w:cs="ChaletComprime-HongKongSixty"/>
          <w:color w:val="9A258F"/>
          <w:sz w:val="80"/>
          <w:szCs w:val="80"/>
        </w:rPr>
      </w:pPr>
      <w:bookmarkStart w:id="0" w:name="_bookmark0"/>
      <w:bookmarkEnd w:id="0"/>
      <w:r>
        <w:rPr>
          <w:rFonts w:ascii="ChaletComprime-HongKongSixty" w:hAnsi="ChaletComprime-HongKongSixty"/>
          <w:color w:val="9A258F"/>
          <w:sz w:val="80"/>
          <w:szCs w:val="80"/>
        </w:rPr>
        <w:lastRenderedPageBreak/>
        <w:t>Introducción</w:t>
      </w:r>
    </w:p>
    <w:p w14:paraId="27F89046" w14:textId="77777777" w:rsidR="00D66221" w:rsidRDefault="00D66221">
      <w:pPr>
        <w:pStyle w:val="BodyText"/>
        <w:kinsoku w:val="0"/>
        <w:overflowPunct w:val="0"/>
        <w:rPr>
          <w:rFonts w:ascii="ChaletComprime-HongKongSixty" w:hAnsi="ChaletComprime-HongKongSixty" w:cs="ChaletComprime-HongKongSixty"/>
          <w:sz w:val="26"/>
          <w:szCs w:val="26"/>
        </w:rPr>
      </w:pPr>
    </w:p>
    <w:p w14:paraId="05C39A16" w14:textId="77777777" w:rsidR="00D66221" w:rsidRDefault="00D66221">
      <w:pPr>
        <w:pStyle w:val="BodyText"/>
        <w:kinsoku w:val="0"/>
        <w:overflowPunct w:val="0"/>
        <w:rPr>
          <w:rFonts w:ascii="ChaletComprime-HongKongSixty" w:hAnsi="ChaletComprime-HongKongSixty" w:cs="ChaletComprime-HongKongSixty"/>
          <w:sz w:val="26"/>
          <w:szCs w:val="26"/>
        </w:rPr>
      </w:pPr>
    </w:p>
    <w:p w14:paraId="3BFAEA80" w14:textId="77777777" w:rsidR="00D66221" w:rsidRDefault="00D66221">
      <w:pPr>
        <w:pStyle w:val="BodyText"/>
        <w:kinsoku w:val="0"/>
        <w:overflowPunct w:val="0"/>
        <w:rPr>
          <w:rFonts w:ascii="ChaletComprime-HongKongSixty" w:hAnsi="ChaletComprime-HongKongSixty" w:cs="ChaletComprime-HongKongSixty"/>
          <w:sz w:val="26"/>
          <w:szCs w:val="26"/>
        </w:rPr>
      </w:pPr>
    </w:p>
    <w:p w14:paraId="2403064C" w14:textId="77777777" w:rsidR="00D66221" w:rsidRDefault="00D66221">
      <w:pPr>
        <w:pStyle w:val="BodyText"/>
        <w:kinsoku w:val="0"/>
        <w:overflowPunct w:val="0"/>
        <w:rPr>
          <w:rFonts w:ascii="ChaletComprime-HongKongSixty" w:hAnsi="ChaletComprime-HongKongSixty" w:cs="ChaletComprime-HongKongSixty"/>
          <w:sz w:val="26"/>
          <w:szCs w:val="26"/>
        </w:rPr>
      </w:pPr>
    </w:p>
    <w:p w14:paraId="23154443" w14:textId="77777777" w:rsidR="00D66221" w:rsidRDefault="00D66221">
      <w:pPr>
        <w:pStyle w:val="BodyText"/>
        <w:kinsoku w:val="0"/>
        <w:overflowPunct w:val="0"/>
        <w:rPr>
          <w:rFonts w:ascii="ChaletComprime-HongKongSixty" w:hAnsi="ChaletComprime-HongKongSixty" w:cs="ChaletComprime-HongKongSixty"/>
          <w:sz w:val="26"/>
          <w:szCs w:val="26"/>
        </w:rPr>
      </w:pPr>
    </w:p>
    <w:p w14:paraId="01E89017" w14:textId="77777777" w:rsidR="00D66221" w:rsidRDefault="00D66221">
      <w:pPr>
        <w:pStyle w:val="BodyText"/>
        <w:kinsoku w:val="0"/>
        <w:overflowPunct w:val="0"/>
        <w:spacing w:before="4"/>
        <w:rPr>
          <w:rFonts w:ascii="ChaletComprime-HongKongSixty" w:hAnsi="ChaletComprime-HongKongSixty" w:cs="ChaletComprime-HongKongSixty"/>
          <w:sz w:val="25"/>
          <w:szCs w:val="25"/>
        </w:rPr>
      </w:pPr>
    </w:p>
    <w:p w14:paraId="51EC7C59" w14:textId="11974B9D" w:rsidR="00D66221" w:rsidRDefault="00D66221">
      <w:pPr>
        <w:pStyle w:val="BodyText"/>
        <w:kinsoku w:val="0"/>
        <w:overflowPunct w:val="0"/>
        <w:spacing w:line="230" w:lineRule="auto"/>
        <w:ind w:left="117" w:right="1414"/>
        <w:jc w:val="both"/>
      </w:pPr>
      <w:r>
        <w:t>La mutilación genital femenina (MGF) se reconoce internacionalmente como una violación grave de los derechos humanos, una forma de violencia contra las mujeres y las niñas y una manifestación de unas relaciones de género desiguales. En particular, viola el derecho de una persona a su integridad física y mental, el derecho a no ser víctima de la violencia, el derecho al disfrute del más alto nivel posible de salud, el derecho a no ser víctima de la discriminación por motivo de sexo, el derecho a no ser sometida a tortura y, cuando la MGF provoca la muerte, el derecho a la vida. También equivale a la tortura o al maltrato</w:t>
      </w:r>
      <w:r>
        <w:rPr>
          <w:sz w:val="11"/>
          <w:szCs w:val="11"/>
        </w:rPr>
        <w:t xml:space="preserve">1 </w:t>
      </w:r>
      <w:r>
        <w:t>y es una forma de persecución.</w:t>
      </w:r>
    </w:p>
    <w:p w14:paraId="786B52CC" w14:textId="77777777" w:rsidR="00D66221" w:rsidRDefault="00D66221">
      <w:pPr>
        <w:pStyle w:val="BodyText"/>
        <w:kinsoku w:val="0"/>
        <w:overflowPunct w:val="0"/>
        <w:spacing w:before="10"/>
        <w:rPr>
          <w:sz w:val="18"/>
          <w:szCs w:val="18"/>
        </w:rPr>
      </w:pPr>
    </w:p>
    <w:p w14:paraId="4854659A" w14:textId="2F0CB11A" w:rsidR="00D66221" w:rsidRDefault="00D66221">
      <w:pPr>
        <w:pStyle w:val="BodyText"/>
        <w:kinsoku w:val="0"/>
        <w:overflowPunct w:val="0"/>
        <w:spacing w:line="230" w:lineRule="auto"/>
        <w:ind w:left="117" w:right="1414"/>
        <w:jc w:val="both"/>
      </w:pPr>
      <w:r>
        <w:t xml:space="preserve">Sin embargo, el tema de la MGF suscita debates, polémica, emociones y reacciones. Dado que abarca una variedad de temas, desde los derechos humanos, los derechos de la mujer, la violencia contra el cuerpo y de género hasta la salud, la tradición y la cultura, es una cuestión particularmente delicada de abordar, especialmente para las personas y las organizaciones que luchan por la erradicación de esta práctica, tales como las </w:t>
      </w:r>
      <w:r w:rsidR="00C1685C">
        <w:t xml:space="preserve">supervivientes </w:t>
      </w:r>
      <w:r w:rsidR="00904EA2">
        <w:t xml:space="preserve"> </w:t>
      </w:r>
      <w:r>
        <w:t>de la MGF, los activistas contra la MGF, las organizaciones no gubernamentales (ONG), las autoridades nacionales y los organismos internacionales.</w:t>
      </w:r>
    </w:p>
    <w:p w14:paraId="68CAAAC5" w14:textId="77777777" w:rsidR="00D66221" w:rsidRDefault="00D66221">
      <w:pPr>
        <w:pStyle w:val="BodyText"/>
        <w:kinsoku w:val="0"/>
        <w:overflowPunct w:val="0"/>
        <w:spacing w:before="9"/>
        <w:rPr>
          <w:sz w:val="18"/>
          <w:szCs w:val="18"/>
        </w:rPr>
      </w:pPr>
    </w:p>
    <w:p w14:paraId="42064200" w14:textId="49BB2EBF" w:rsidR="00D66221" w:rsidRDefault="00D66221">
      <w:pPr>
        <w:pStyle w:val="BodyText"/>
        <w:kinsoku w:val="0"/>
        <w:overflowPunct w:val="0"/>
        <w:spacing w:before="1" w:line="230" w:lineRule="auto"/>
        <w:ind w:left="117" w:right="1414"/>
        <w:jc w:val="both"/>
      </w:pPr>
      <w:r>
        <w:t xml:space="preserve">El lenguaje es una herramienta esencial y poderosa para poner fin a esta práctica perjudicial. El vocabulario puede parecer simbólico en el contexto de una violación de los derechos humanos; sin embargo, la terminología, los relatos y los discursos son herramientas cruciales para transmitir mensajes que contribuyan a sensibilizar, para empoderar a las mujeres, las niñas y las comunidades y para fortalecer su capacidad para hablar contra la práctica perjudicial de la MGF; todos estos elementos son esenciales para lograr </w:t>
      </w:r>
      <w:r w:rsidR="00C1685C">
        <w:t xml:space="preserve">su </w:t>
      </w:r>
      <w:r>
        <w:t>eliminación. Las palabras y sus connotaciones son poderosas y afectan la manera en que se percibe y es abordado un sujeto. Una información imprecisa o un uso degradante del vocabulario, más que un empoderamiento y un uso cuidadoso de la terminología, puede provocar malentendidos e interpretaciones erróneas, e incluso podría ser perjudicial tanto para el movimiento mundial contra la MGF como para la</w:t>
      </w:r>
      <w:r w:rsidR="00D728C0">
        <w:t>s</w:t>
      </w:r>
      <w:r>
        <w:t xml:space="preserve"> mujeres y las niñas que necesitan protección y cuidados.</w:t>
      </w:r>
    </w:p>
    <w:p w14:paraId="051ECC33" w14:textId="77777777" w:rsidR="00D66221" w:rsidRDefault="00D66221">
      <w:pPr>
        <w:pStyle w:val="BodyText"/>
        <w:kinsoku w:val="0"/>
        <w:overflowPunct w:val="0"/>
        <w:spacing w:before="6"/>
        <w:rPr>
          <w:sz w:val="18"/>
          <w:szCs w:val="18"/>
        </w:rPr>
      </w:pPr>
    </w:p>
    <w:p w14:paraId="098C7DF9" w14:textId="06886713" w:rsidR="00D66221" w:rsidRDefault="00D66221">
      <w:pPr>
        <w:pStyle w:val="BodyText"/>
        <w:kinsoku w:val="0"/>
        <w:overflowPunct w:val="0"/>
        <w:spacing w:line="230" w:lineRule="auto"/>
        <w:ind w:left="117" w:right="1414"/>
        <w:jc w:val="both"/>
      </w:pPr>
      <w:r>
        <w:t xml:space="preserve">A través de este documento de posición, la Red Europea contra la Mutilación Genital Femenina (End FGM EU) establece su enfoque con respecto al lenguaje en el marco del movimiento mundial que lucha por la erradicación de la MGF. Este documento está destinado a cualquier persona que busque información sobre la MGF y sobre el vocabulario que se emplea en </w:t>
      </w:r>
      <w:r w:rsidR="008C6138">
        <w:t xml:space="preserve">este </w:t>
      </w:r>
      <w:r>
        <w:t xml:space="preserve">campo, y es de particular interés para los profesionales de los medios de comunicación y para otros profesionales que presenten informes sobre el tema o que estén en contacto con </w:t>
      </w:r>
      <w:r w:rsidR="002A320B">
        <w:t>supervivientes</w:t>
      </w:r>
      <w:r>
        <w:t xml:space="preserve"> de la MGF y con las comunidades afectadas por ésta. Para que haya una comprensión precisa de la práctica, el informe presenta en primer lugar la definición oficial de mutilación genital femenina y sus denominaciones en diferentes contextos. A continuación</w:t>
      </w:r>
      <w:r w:rsidR="00D728C0">
        <w:t>,</w:t>
      </w:r>
      <w:r>
        <w:t xml:space="preserve"> presentamos relatos y discursos en torno a la práctica y ofrecemos recomendaciones para evitar la estigmatización y promover el empoderamiento.</w:t>
      </w:r>
    </w:p>
    <w:p w14:paraId="6DC96AD5" w14:textId="77777777" w:rsidR="00D66221" w:rsidRDefault="00D66221">
      <w:pPr>
        <w:pStyle w:val="BodyText"/>
        <w:kinsoku w:val="0"/>
        <w:overflowPunct w:val="0"/>
      </w:pPr>
    </w:p>
    <w:p w14:paraId="6314621E" w14:textId="77777777" w:rsidR="00D66221" w:rsidRDefault="00D66221">
      <w:pPr>
        <w:pStyle w:val="BodyText"/>
        <w:kinsoku w:val="0"/>
        <w:overflowPunct w:val="0"/>
      </w:pPr>
    </w:p>
    <w:p w14:paraId="2004F2BD" w14:textId="77777777" w:rsidR="00D66221" w:rsidRDefault="00D66221">
      <w:pPr>
        <w:pStyle w:val="BodyText"/>
        <w:kinsoku w:val="0"/>
        <w:overflowPunct w:val="0"/>
      </w:pPr>
    </w:p>
    <w:p w14:paraId="78E10E54" w14:textId="77777777" w:rsidR="00D66221" w:rsidRDefault="00D66221">
      <w:pPr>
        <w:pStyle w:val="BodyText"/>
        <w:kinsoku w:val="0"/>
        <w:overflowPunct w:val="0"/>
      </w:pPr>
    </w:p>
    <w:p w14:paraId="6CEFAC44" w14:textId="77777777" w:rsidR="00D66221" w:rsidRDefault="00D66221">
      <w:pPr>
        <w:pStyle w:val="BodyText"/>
        <w:kinsoku w:val="0"/>
        <w:overflowPunct w:val="0"/>
      </w:pPr>
    </w:p>
    <w:p w14:paraId="41B0A15E" w14:textId="77777777" w:rsidR="00D66221" w:rsidRDefault="00D66221">
      <w:pPr>
        <w:pStyle w:val="BodyText"/>
        <w:kinsoku w:val="0"/>
        <w:overflowPunct w:val="0"/>
      </w:pPr>
    </w:p>
    <w:p w14:paraId="302B65F2" w14:textId="77777777" w:rsidR="00D66221" w:rsidRDefault="00D66221">
      <w:pPr>
        <w:pStyle w:val="BodyText"/>
        <w:kinsoku w:val="0"/>
        <w:overflowPunct w:val="0"/>
      </w:pPr>
    </w:p>
    <w:p w14:paraId="0BF2C3BE" w14:textId="77777777" w:rsidR="00D66221" w:rsidRDefault="00D66221">
      <w:pPr>
        <w:pStyle w:val="BodyText"/>
        <w:kinsoku w:val="0"/>
        <w:overflowPunct w:val="0"/>
      </w:pPr>
    </w:p>
    <w:p w14:paraId="7B4C06CB" w14:textId="77777777" w:rsidR="00D66221" w:rsidRDefault="00D66221">
      <w:pPr>
        <w:pStyle w:val="BodyText"/>
        <w:kinsoku w:val="0"/>
        <w:overflowPunct w:val="0"/>
      </w:pPr>
    </w:p>
    <w:p w14:paraId="2EAD917C" w14:textId="77777777" w:rsidR="00D66221" w:rsidRDefault="00D66221">
      <w:pPr>
        <w:pStyle w:val="BodyText"/>
        <w:kinsoku w:val="0"/>
        <w:overflowPunct w:val="0"/>
        <w:spacing w:before="13"/>
        <w:rPr>
          <w:sz w:val="13"/>
          <w:szCs w:val="13"/>
        </w:rPr>
      </w:pPr>
    </w:p>
    <w:p w14:paraId="53B2FFB6" w14:textId="77777777" w:rsidR="00D66221" w:rsidRDefault="002F6241">
      <w:pPr>
        <w:pStyle w:val="ListParagraph"/>
        <w:numPr>
          <w:ilvl w:val="0"/>
          <w:numId w:val="3"/>
        </w:numPr>
        <w:tabs>
          <w:tab w:val="left" w:pos="345"/>
        </w:tabs>
        <w:kinsoku w:val="0"/>
        <w:overflowPunct w:val="0"/>
        <w:spacing w:line="199" w:lineRule="auto"/>
        <w:ind w:right="1485"/>
        <w:rPr>
          <w:color w:val="58595B"/>
          <w:sz w:val="16"/>
          <w:szCs w:val="16"/>
        </w:rPr>
      </w:pPr>
      <w:hyperlink r:id="rId5" w:history="1">
        <w:r w:rsidR="00435287">
          <w:rPr>
            <w:color w:val="58595B"/>
            <w:sz w:val="16"/>
            <w:szCs w:val="16"/>
            <w:u w:val="single"/>
          </w:rPr>
          <w:t>Informe del Relator Especial sobre la tortura y otros tratos o penas crueles, inhumanos o degradantes</w:t>
        </w:r>
      </w:hyperlink>
      <w:r w:rsidR="00435287">
        <w:rPr>
          <w:color w:val="58595B"/>
          <w:sz w:val="16"/>
          <w:szCs w:val="16"/>
        </w:rPr>
        <w:t>, de 2008 (Consultado el 11 de octubre de 2016)</w:t>
      </w:r>
    </w:p>
    <w:p w14:paraId="1508D5C4" w14:textId="77777777" w:rsidR="00D66221" w:rsidRDefault="00D66221">
      <w:pPr>
        <w:pStyle w:val="ListParagraph"/>
        <w:numPr>
          <w:ilvl w:val="0"/>
          <w:numId w:val="3"/>
        </w:numPr>
        <w:tabs>
          <w:tab w:val="left" w:pos="345"/>
        </w:tabs>
        <w:kinsoku w:val="0"/>
        <w:overflowPunct w:val="0"/>
        <w:spacing w:line="199" w:lineRule="auto"/>
        <w:ind w:right="1485"/>
        <w:rPr>
          <w:color w:val="58595B"/>
          <w:sz w:val="16"/>
          <w:szCs w:val="16"/>
        </w:rPr>
        <w:sectPr w:rsidR="00D66221">
          <w:pgSz w:w="11910" w:h="16840"/>
          <w:pgMar w:top="1580" w:right="0" w:bottom="280" w:left="1300" w:header="720" w:footer="720" w:gutter="0"/>
          <w:cols w:space="720"/>
          <w:noEndnote/>
        </w:sectPr>
      </w:pPr>
    </w:p>
    <w:p w14:paraId="0EFD8238" w14:textId="77777777" w:rsidR="00D66221" w:rsidRDefault="00D66221">
      <w:pPr>
        <w:pStyle w:val="BodyText"/>
        <w:kinsoku w:val="0"/>
        <w:overflowPunct w:val="0"/>
        <w:spacing w:before="3"/>
        <w:rPr>
          <w:sz w:val="8"/>
          <w:szCs w:val="8"/>
        </w:rPr>
      </w:pPr>
    </w:p>
    <w:p w14:paraId="2E7952CC" w14:textId="77777777" w:rsidR="00D66221" w:rsidRDefault="00D66221">
      <w:pPr>
        <w:pStyle w:val="Heading1"/>
        <w:numPr>
          <w:ilvl w:val="0"/>
          <w:numId w:val="2"/>
        </w:numPr>
        <w:tabs>
          <w:tab w:val="left" w:pos="685"/>
        </w:tabs>
        <w:kinsoku w:val="0"/>
        <w:overflowPunct w:val="0"/>
        <w:spacing w:before="163" w:line="204" w:lineRule="auto"/>
        <w:ind w:right="2540"/>
        <w:rPr>
          <w:color w:val="9A258F"/>
          <w:spacing w:val="-3"/>
        </w:rPr>
      </w:pPr>
      <w:bookmarkStart w:id="1" w:name="_bookmark1"/>
      <w:bookmarkEnd w:id="1"/>
      <w:r>
        <w:rPr>
          <w:color w:val="9A258F"/>
        </w:rPr>
        <w:t>Comprender la terminología en torno a la MGF</w:t>
      </w:r>
    </w:p>
    <w:p w14:paraId="7F6A1547" w14:textId="77777777" w:rsidR="00D66221" w:rsidRDefault="00D66221">
      <w:pPr>
        <w:pStyle w:val="BodyText"/>
        <w:kinsoku w:val="0"/>
        <w:overflowPunct w:val="0"/>
        <w:rPr>
          <w:rFonts w:ascii="ChaletComprime-HongKongSixty" w:hAnsi="ChaletComprime-HongKongSixty" w:cs="ChaletComprime-HongKongSixty"/>
        </w:rPr>
      </w:pPr>
    </w:p>
    <w:p w14:paraId="23BF3556" w14:textId="77777777" w:rsidR="00D66221" w:rsidRDefault="00D66221">
      <w:pPr>
        <w:pStyle w:val="BodyText"/>
        <w:kinsoku w:val="0"/>
        <w:overflowPunct w:val="0"/>
        <w:rPr>
          <w:rFonts w:ascii="ChaletComprime-HongKongSixty" w:hAnsi="ChaletComprime-HongKongSixty" w:cs="ChaletComprime-HongKongSixty"/>
        </w:rPr>
      </w:pPr>
    </w:p>
    <w:p w14:paraId="796DF77C" w14:textId="77777777" w:rsidR="00D66221" w:rsidRDefault="00D66221">
      <w:pPr>
        <w:pStyle w:val="BodyText"/>
        <w:kinsoku w:val="0"/>
        <w:overflowPunct w:val="0"/>
        <w:rPr>
          <w:rFonts w:ascii="ChaletComprime-HongKongSixty" w:hAnsi="ChaletComprime-HongKongSixty" w:cs="ChaletComprime-HongKongSixty"/>
        </w:rPr>
      </w:pPr>
    </w:p>
    <w:p w14:paraId="0ABC48AF" w14:textId="77777777" w:rsidR="00D66221" w:rsidRDefault="00D66221">
      <w:pPr>
        <w:pStyle w:val="BodyText"/>
        <w:kinsoku w:val="0"/>
        <w:overflowPunct w:val="0"/>
        <w:rPr>
          <w:rFonts w:ascii="ChaletComprime-HongKongSixty" w:hAnsi="ChaletComprime-HongKongSixty" w:cs="ChaletComprime-HongKongSixty"/>
          <w:sz w:val="17"/>
          <w:szCs w:val="17"/>
        </w:rPr>
      </w:pPr>
    </w:p>
    <w:p w14:paraId="743D2621" w14:textId="77777777" w:rsidR="00D66221" w:rsidRDefault="00D66221">
      <w:pPr>
        <w:pStyle w:val="BodyText"/>
        <w:kinsoku w:val="0"/>
        <w:overflowPunct w:val="0"/>
        <w:rPr>
          <w:rFonts w:ascii="ChaletComprime-HongKongSixty" w:hAnsi="ChaletComprime-HongKongSixty" w:cs="ChaletComprime-HongKongSixty"/>
          <w:sz w:val="17"/>
          <w:szCs w:val="17"/>
        </w:rPr>
        <w:sectPr w:rsidR="00D66221">
          <w:pgSz w:w="11910" w:h="16840"/>
          <w:pgMar w:top="1580" w:right="0" w:bottom="280" w:left="1300" w:header="720" w:footer="720" w:gutter="0"/>
          <w:cols w:space="720"/>
          <w:noEndnote/>
        </w:sectPr>
      </w:pPr>
    </w:p>
    <w:p w14:paraId="68ECC7E8" w14:textId="77777777" w:rsidR="00D66221" w:rsidRDefault="00D66221">
      <w:pPr>
        <w:pStyle w:val="Heading2"/>
        <w:numPr>
          <w:ilvl w:val="1"/>
          <w:numId w:val="2"/>
        </w:numPr>
        <w:tabs>
          <w:tab w:val="left" w:pos="571"/>
        </w:tabs>
        <w:kinsoku w:val="0"/>
        <w:overflowPunct w:val="0"/>
        <w:spacing w:before="72"/>
        <w:ind w:hanging="453"/>
      </w:pPr>
      <w:r>
        <w:lastRenderedPageBreak/>
        <w:t>Definición y tipología</w:t>
      </w:r>
    </w:p>
    <w:p w14:paraId="5EBDFC4D" w14:textId="6EE07C8F" w:rsidR="00D66221" w:rsidRDefault="00D66221">
      <w:pPr>
        <w:pStyle w:val="BodyText"/>
        <w:kinsoku w:val="0"/>
        <w:overflowPunct w:val="0"/>
        <w:spacing w:before="126" w:line="230" w:lineRule="auto"/>
        <w:ind w:left="117" w:right="38"/>
        <w:jc w:val="both"/>
      </w:pPr>
      <w:r>
        <w:t xml:space="preserve">Según la definición de la Organización Mundial de la Salud (OMS), la mutilación genital femenina (MGF) </w:t>
      </w:r>
      <w:r w:rsidR="00670119">
        <w:t xml:space="preserve">comprende </w:t>
      </w:r>
      <w:r>
        <w:t xml:space="preserve">todos los procedimientos que implican la </w:t>
      </w:r>
      <w:r w:rsidR="00670119">
        <w:t xml:space="preserve">resección </w:t>
      </w:r>
      <w:r>
        <w:t>parcial o total de los genitales externos de la mujer u otras lesiones a los órganos genitales femeninos por razones no médicas.</w:t>
      </w:r>
      <w:r>
        <w:rPr>
          <w:sz w:val="11"/>
          <w:szCs w:val="11"/>
        </w:rPr>
        <w:t xml:space="preserve">2 </w:t>
      </w:r>
      <w:r>
        <w:t>En 1995, la OMS estableció también una</w:t>
      </w:r>
    </w:p>
    <w:p w14:paraId="3984FAD4" w14:textId="77777777" w:rsidR="00D66221" w:rsidRDefault="00D66221">
      <w:pPr>
        <w:pStyle w:val="BodyText"/>
        <w:kinsoku w:val="0"/>
        <w:overflowPunct w:val="0"/>
        <w:rPr>
          <w:sz w:val="26"/>
          <w:szCs w:val="26"/>
        </w:rPr>
      </w:pPr>
      <w:r>
        <w:br w:type="column"/>
      </w:r>
    </w:p>
    <w:p w14:paraId="3D975D39" w14:textId="77777777" w:rsidR="00D66221" w:rsidRDefault="00D66221">
      <w:pPr>
        <w:pStyle w:val="BodyText"/>
        <w:kinsoku w:val="0"/>
        <w:overflowPunct w:val="0"/>
        <w:spacing w:before="8"/>
        <w:rPr>
          <w:sz w:val="22"/>
          <w:szCs w:val="22"/>
        </w:rPr>
      </w:pPr>
    </w:p>
    <w:p w14:paraId="72E0351C" w14:textId="29A006F6" w:rsidR="00D66221" w:rsidRDefault="00D66221">
      <w:pPr>
        <w:pStyle w:val="BodyText"/>
        <w:kinsoku w:val="0"/>
        <w:overflowPunct w:val="0"/>
        <w:spacing w:line="230" w:lineRule="auto"/>
        <w:ind w:left="117" w:right="1415"/>
        <w:jc w:val="both"/>
      </w:pPr>
      <w:r>
        <w:t>tipología de la MGF</w:t>
      </w:r>
      <w:r>
        <w:rPr>
          <w:sz w:val="11"/>
          <w:szCs w:val="11"/>
        </w:rPr>
        <w:t>3</w:t>
      </w:r>
      <w:r>
        <w:t>, que fue actualizada en 2007. El objetivo de esta tipología es facilitar una comprensión anatómica de la práctica. Sin embargo, la mayoría de las mujeres pueden no ser conscientes del tipo de MGF al que se las ha sometido, especialmente en el caso de los tipos 1, 2 o 4.</w:t>
      </w:r>
    </w:p>
    <w:p w14:paraId="1E627879" w14:textId="77777777" w:rsidR="00D66221" w:rsidRDefault="00D66221">
      <w:pPr>
        <w:pStyle w:val="BodyText"/>
        <w:kinsoku w:val="0"/>
        <w:overflowPunct w:val="0"/>
        <w:spacing w:line="230" w:lineRule="auto"/>
        <w:ind w:left="117" w:right="1415"/>
        <w:jc w:val="both"/>
        <w:sectPr w:rsidR="00D66221">
          <w:type w:val="continuous"/>
          <w:pgSz w:w="11910" w:h="16840"/>
          <w:pgMar w:top="840" w:right="0" w:bottom="280" w:left="1300" w:header="720" w:footer="720" w:gutter="0"/>
          <w:cols w:num="2" w:space="720" w:equalWidth="0">
            <w:col w:w="4523" w:space="182"/>
            <w:col w:w="5905"/>
          </w:cols>
          <w:noEndnote/>
        </w:sectPr>
      </w:pPr>
    </w:p>
    <w:p w14:paraId="1FA603B0" w14:textId="77777777" w:rsidR="00D66221" w:rsidRDefault="00D66221">
      <w:pPr>
        <w:pStyle w:val="BodyText"/>
        <w:kinsoku w:val="0"/>
        <w:overflowPunct w:val="0"/>
      </w:pPr>
    </w:p>
    <w:p w14:paraId="15BB5E71" w14:textId="77777777" w:rsidR="002F6241" w:rsidRDefault="002F6241">
      <w:pPr>
        <w:pStyle w:val="BodyText"/>
        <w:kinsoku w:val="0"/>
        <w:overflowPunct w:val="0"/>
      </w:pPr>
      <w:bookmarkStart w:id="2" w:name="_GoBack"/>
      <w:bookmarkEnd w:id="2"/>
    </w:p>
    <w:p w14:paraId="3EE83428" w14:textId="77777777" w:rsidR="00D66221" w:rsidRDefault="00D66221">
      <w:pPr>
        <w:pStyle w:val="BodyText"/>
        <w:kinsoku w:val="0"/>
        <w:overflowPunct w:val="0"/>
      </w:pPr>
    </w:p>
    <w:p w14:paraId="6D25A55D" w14:textId="77777777" w:rsidR="00D66221" w:rsidRDefault="00D66221">
      <w:pPr>
        <w:pStyle w:val="BodyText"/>
        <w:kinsoku w:val="0"/>
        <w:overflowPunct w:val="0"/>
      </w:pPr>
    </w:p>
    <w:p w14:paraId="5845E1E3" w14:textId="77777777" w:rsidR="00D66221" w:rsidRDefault="00D66221">
      <w:pPr>
        <w:pStyle w:val="BodyText"/>
        <w:kinsoku w:val="0"/>
        <w:overflowPunct w:val="0"/>
      </w:pPr>
    </w:p>
    <w:p w14:paraId="0BF79A1C" w14:textId="77777777" w:rsidR="00D66221" w:rsidRDefault="00D66221">
      <w:pPr>
        <w:pStyle w:val="BodyText"/>
        <w:kinsoku w:val="0"/>
        <w:overflowPunct w:val="0"/>
      </w:pPr>
    </w:p>
    <w:p w14:paraId="34DFD314" w14:textId="77777777" w:rsidR="00D66221" w:rsidRDefault="00D66221">
      <w:pPr>
        <w:pStyle w:val="BodyText"/>
        <w:kinsoku w:val="0"/>
        <w:overflowPunct w:val="0"/>
      </w:pPr>
    </w:p>
    <w:p w14:paraId="09B174DE" w14:textId="77777777" w:rsidR="00D66221" w:rsidRDefault="00D66221">
      <w:pPr>
        <w:pStyle w:val="BodyText"/>
        <w:kinsoku w:val="0"/>
        <w:overflowPunct w:val="0"/>
      </w:pPr>
    </w:p>
    <w:p w14:paraId="77DD30E0" w14:textId="77777777" w:rsidR="00D66221" w:rsidRDefault="00D66221">
      <w:pPr>
        <w:pStyle w:val="BodyText"/>
        <w:kinsoku w:val="0"/>
        <w:overflowPunct w:val="0"/>
      </w:pPr>
    </w:p>
    <w:p w14:paraId="7BA90578" w14:textId="77777777" w:rsidR="00D66221" w:rsidRDefault="00D66221">
      <w:pPr>
        <w:pStyle w:val="BodyText"/>
        <w:kinsoku w:val="0"/>
        <w:overflowPunct w:val="0"/>
      </w:pPr>
    </w:p>
    <w:p w14:paraId="1E43D5CA" w14:textId="77777777" w:rsidR="00D66221" w:rsidRDefault="00D66221">
      <w:pPr>
        <w:pStyle w:val="BodyText"/>
        <w:kinsoku w:val="0"/>
        <w:overflowPunct w:val="0"/>
      </w:pPr>
    </w:p>
    <w:p w14:paraId="2B6D7057" w14:textId="77777777" w:rsidR="00D66221" w:rsidRDefault="00D66221">
      <w:pPr>
        <w:pStyle w:val="BodyText"/>
        <w:kinsoku w:val="0"/>
        <w:overflowPunct w:val="0"/>
      </w:pPr>
    </w:p>
    <w:p w14:paraId="207B77CC" w14:textId="77777777" w:rsidR="00D66221" w:rsidRDefault="00D66221">
      <w:pPr>
        <w:pStyle w:val="BodyText"/>
        <w:kinsoku w:val="0"/>
        <w:overflowPunct w:val="0"/>
      </w:pPr>
    </w:p>
    <w:p w14:paraId="3BAF9DCF" w14:textId="77777777" w:rsidR="00D66221" w:rsidRDefault="00D66221">
      <w:pPr>
        <w:pStyle w:val="BodyText"/>
        <w:kinsoku w:val="0"/>
        <w:overflowPunct w:val="0"/>
      </w:pPr>
    </w:p>
    <w:p w14:paraId="5B45D9BA" w14:textId="77777777" w:rsidR="00D66221" w:rsidRDefault="00D66221">
      <w:pPr>
        <w:pStyle w:val="BodyText"/>
        <w:kinsoku w:val="0"/>
        <w:overflowPunct w:val="0"/>
      </w:pPr>
    </w:p>
    <w:p w14:paraId="21BE9202" w14:textId="77777777" w:rsidR="00D66221" w:rsidRDefault="00D66221">
      <w:pPr>
        <w:pStyle w:val="BodyText"/>
        <w:kinsoku w:val="0"/>
        <w:overflowPunct w:val="0"/>
      </w:pPr>
    </w:p>
    <w:p w14:paraId="26F41D9C" w14:textId="77777777" w:rsidR="00D66221" w:rsidRDefault="00D66221">
      <w:pPr>
        <w:pStyle w:val="BodyText"/>
        <w:kinsoku w:val="0"/>
        <w:overflowPunct w:val="0"/>
      </w:pPr>
    </w:p>
    <w:p w14:paraId="7E20BD10" w14:textId="77777777" w:rsidR="00D66221" w:rsidRDefault="00D66221">
      <w:pPr>
        <w:pStyle w:val="BodyText"/>
        <w:kinsoku w:val="0"/>
        <w:overflowPunct w:val="0"/>
      </w:pPr>
    </w:p>
    <w:p w14:paraId="49021562" w14:textId="77777777" w:rsidR="00D66221" w:rsidRDefault="00D66221">
      <w:pPr>
        <w:pStyle w:val="BodyText"/>
        <w:kinsoku w:val="0"/>
        <w:overflowPunct w:val="0"/>
      </w:pPr>
    </w:p>
    <w:p w14:paraId="6FFB3321" w14:textId="77777777" w:rsidR="00D66221" w:rsidRDefault="00D66221">
      <w:pPr>
        <w:pStyle w:val="BodyText"/>
        <w:kinsoku w:val="0"/>
        <w:overflowPunct w:val="0"/>
      </w:pPr>
    </w:p>
    <w:p w14:paraId="12E573B9" w14:textId="77777777" w:rsidR="00D66221" w:rsidRDefault="00D66221">
      <w:pPr>
        <w:pStyle w:val="BodyText"/>
        <w:kinsoku w:val="0"/>
        <w:overflowPunct w:val="0"/>
        <w:spacing w:before="1"/>
      </w:pPr>
    </w:p>
    <w:p w14:paraId="07954811" w14:textId="77777777" w:rsidR="00D66221" w:rsidRDefault="00D66221">
      <w:pPr>
        <w:pStyle w:val="BodyText"/>
        <w:kinsoku w:val="0"/>
        <w:overflowPunct w:val="0"/>
        <w:spacing w:before="1"/>
        <w:sectPr w:rsidR="00D66221">
          <w:type w:val="continuous"/>
          <w:pgSz w:w="11910" w:h="16840"/>
          <w:pgMar w:top="840" w:right="0" w:bottom="280" w:left="1300" w:header="720" w:footer="720" w:gutter="0"/>
          <w:cols w:space="720" w:equalWidth="0">
            <w:col w:w="10610"/>
          </w:cols>
          <w:noEndnote/>
        </w:sectPr>
      </w:pPr>
    </w:p>
    <w:p w14:paraId="52997AC7" w14:textId="00791B56" w:rsidR="002D27C5" w:rsidRDefault="00D66221" w:rsidP="002D27C5">
      <w:pPr>
        <w:pStyle w:val="BodyText"/>
        <w:kinsoku w:val="0"/>
        <w:overflowPunct w:val="0"/>
        <w:spacing w:before="92" w:line="230" w:lineRule="auto"/>
        <w:ind w:left="117" w:right="38"/>
        <w:jc w:val="both"/>
      </w:pPr>
      <w:r>
        <w:lastRenderedPageBreak/>
        <w:t xml:space="preserve">La definición y la tipología se emplean oficialmente en los ámbitos nacionales e internacionales, ya que proviene de la OMS, que es una organización importante en el campo de la salud, y porque refleja un </w:t>
      </w:r>
      <w:r>
        <w:rPr>
          <w:rFonts w:ascii="GloriolaStd-Medium" w:hAnsi="GloriolaStd-Medium"/>
        </w:rPr>
        <w:t xml:space="preserve">consenso internacional </w:t>
      </w:r>
      <w:r>
        <w:t xml:space="preserve">en el sistema de las </w:t>
      </w:r>
      <w:r>
        <w:lastRenderedPageBreak/>
        <w:t xml:space="preserve">Naciones Unidas. </w:t>
      </w:r>
    </w:p>
    <w:p w14:paraId="1683D68A" w14:textId="1B3B7237" w:rsidR="00D66221" w:rsidRDefault="00D66221" w:rsidP="002D27C5">
      <w:pPr>
        <w:pStyle w:val="BodyText"/>
        <w:kinsoku w:val="0"/>
        <w:overflowPunct w:val="0"/>
        <w:spacing w:before="92" w:line="230" w:lineRule="auto"/>
        <w:ind w:left="117" w:right="38"/>
        <w:jc w:val="both"/>
      </w:pPr>
      <w:r>
        <w:t>La Red Europea contra la Mutilación Genital Femenina (End FGM EU) ha adoptado esta definición y esta tipología en sus herramientas de comunicación y de promoción de los intereses de las posibles afectadas en el movimiento que lucha contra la MGF.</w:t>
      </w:r>
    </w:p>
    <w:p w14:paraId="5ACA2D2B" w14:textId="77777777" w:rsidR="00D66221" w:rsidRDefault="00D66221">
      <w:pPr>
        <w:pStyle w:val="BodyText"/>
        <w:kinsoku w:val="0"/>
        <w:overflowPunct w:val="0"/>
        <w:spacing w:before="92" w:line="230" w:lineRule="auto"/>
        <w:ind w:left="117" w:right="1415"/>
        <w:jc w:val="both"/>
        <w:sectPr w:rsidR="00D66221">
          <w:type w:val="continuous"/>
          <w:pgSz w:w="11910" w:h="16840"/>
          <w:pgMar w:top="840" w:right="0" w:bottom="280" w:left="1300" w:header="720" w:footer="720" w:gutter="0"/>
          <w:cols w:num="2" w:space="720" w:equalWidth="0">
            <w:col w:w="4523" w:space="182"/>
            <w:col w:w="5905"/>
          </w:cols>
          <w:noEndnote/>
        </w:sectPr>
      </w:pPr>
    </w:p>
    <w:p w14:paraId="1933BDF0" w14:textId="77777777" w:rsidR="00D66221" w:rsidRDefault="00D66221">
      <w:pPr>
        <w:pStyle w:val="BodyText"/>
        <w:kinsoku w:val="0"/>
        <w:overflowPunct w:val="0"/>
      </w:pPr>
    </w:p>
    <w:p w14:paraId="710A6891" w14:textId="77777777" w:rsidR="00D66221" w:rsidRDefault="00D66221">
      <w:pPr>
        <w:pStyle w:val="BodyText"/>
        <w:kinsoku w:val="0"/>
        <w:overflowPunct w:val="0"/>
      </w:pPr>
    </w:p>
    <w:p w14:paraId="375A6E59" w14:textId="77777777" w:rsidR="00D66221" w:rsidRDefault="00D66221">
      <w:pPr>
        <w:pStyle w:val="BodyText"/>
        <w:kinsoku w:val="0"/>
        <w:overflowPunct w:val="0"/>
        <w:spacing w:before="11"/>
        <w:rPr>
          <w:sz w:val="17"/>
          <w:szCs w:val="17"/>
        </w:rPr>
      </w:pPr>
    </w:p>
    <w:p w14:paraId="234826EC" w14:textId="77777777" w:rsidR="00D66221" w:rsidRDefault="00D66221">
      <w:pPr>
        <w:pStyle w:val="ListParagraph"/>
        <w:numPr>
          <w:ilvl w:val="0"/>
          <w:numId w:val="3"/>
        </w:numPr>
        <w:tabs>
          <w:tab w:val="left" w:pos="345"/>
        </w:tabs>
        <w:kinsoku w:val="0"/>
        <w:overflowPunct w:val="0"/>
        <w:spacing w:line="199" w:lineRule="auto"/>
        <w:ind w:right="1429"/>
        <w:rPr>
          <w:color w:val="58595B"/>
          <w:sz w:val="16"/>
          <w:szCs w:val="16"/>
        </w:rPr>
      </w:pPr>
      <w:r>
        <w:rPr>
          <w:color w:val="58595B"/>
          <w:sz w:val="16"/>
          <w:szCs w:val="16"/>
        </w:rPr>
        <w:t xml:space="preserve">WHO, </w:t>
      </w:r>
      <w:r>
        <w:rPr>
          <w:rFonts w:ascii="GloriolaStd-LightItalic" w:hAnsi="GloriolaStd-LightItalic"/>
          <w:i/>
          <w:iCs/>
          <w:color w:val="58595B"/>
          <w:sz w:val="16"/>
          <w:szCs w:val="16"/>
        </w:rPr>
        <w:t>Female genital mutilation, Fact Sheet</w:t>
      </w:r>
      <w:r>
        <w:rPr>
          <w:color w:val="58595B"/>
          <w:sz w:val="16"/>
          <w:szCs w:val="16"/>
        </w:rPr>
        <w:t xml:space="preserve">, February 2016 </w:t>
      </w:r>
      <w:hyperlink r:id="rId6" w:history="1">
        <w:r>
          <w:rPr>
            <w:color w:val="58595B"/>
            <w:sz w:val="16"/>
            <w:szCs w:val="16"/>
            <w:u w:val="single"/>
          </w:rPr>
          <w:t xml:space="preserve"> http://www.who.int/mediacentre/factsheets/fs241/en/</w:t>
        </w:r>
      </w:hyperlink>
      <w:r>
        <w:rPr>
          <w:color w:val="58595B"/>
          <w:sz w:val="16"/>
          <w:szCs w:val="16"/>
        </w:rPr>
        <w:t>(Consultado el 28 de noviembre de 2016)</w:t>
      </w:r>
    </w:p>
    <w:p w14:paraId="2209F65D" w14:textId="77777777" w:rsidR="00D66221" w:rsidRDefault="00D66221">
      <w:pPr>
        <w:pStyle w:val="ListParagraph"/>
        <w:numPr>
          <w:ilvl w:val="0"/>
          <w:numId w:val="3"/>
        </w:numPr>
        <w:tabs>
          <w:tab w:val="left" w:pos="345"/>
        </w:tabs>
        <w:kinsoku w:val="0"/>
        <w:overflowPunct w:val="0"/>
        <w:spacing w:before="30"/>
        <w:rPr>
          <w:color w:val="58595B"/>
          <w:sz w:val="16"/>
          <w:szCs w:val="16"/>
        </w:rPr>
      </w:pPr>
      <w:r>
        <w:rPr>
          <w:color w:val="58595B"/>
          <w:sz w:val="16"/>
          <w:szCs w:val="16"/>
        </w:rPr>
        <w:t>Ibid.</w:t>
      </w:r>
    </w:p>
    <w:p w14:paraId="733D2453" w14:textId="77777777" w:rsidR="00D66221" w:rsidRDefault="00D66221">
      <w:pPr>
        <w:pStyle w:val="ListParagraph"/>
        <w:numPr>
          <w:ilvl w:val="0"/>
          <w:numId w:val="3"/>
        </w:numPr>
        <w:tabs>
          <w:tab w:val="left" w:pos="345"/>
        </w:tabs>
        <w:kinsoku w:val="0"/>
        <w:overflowPunct w:val="0"/>
        <w:spacing w:before="30"/>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0BA77C7E" w14:textId="77777777" w:rsidR="00D66221" w:rsidRDefault="00D66221">
      <w:pPr>
        <w:pStyle w:val="BodyText"/>
        <w:kinsoku w:val="0"/>
        <w:overflowPunct w:val="0"/>
        <w:rPr>
          <w:sz w:val="16"/>
          <w:szCs w:val="16"/>
        </w:rPr>
      </w:pPr>
    </w:p>
    <w:p w14:paraId="335F9676" w14:textId="77777777" w:rsidR="00D66221" w:rsidRDefault="00D66221">
      <w:pPr>
        <w:pStyle w:val="BodyText"/>
        <w:kinsoku w:val="0"/>
        <w:overflowPunct w:val="0"/>
        <w:rPr>
          <w:sz w:val="16"/>
          <w:szCs w:val="16"/>
        </w:rPr>
        <w:sectPr w:rsidR="00D66221">
          <w:pgSz w:w="11910" w:h="16840"/>
          <w:pgMar w:top="1580" w:right="0" w:bottom="280" w:left="1300" w:header="720" w:footer="720" w:gutter="0"/>
          <w:cols w:space="720"/>
          <w:noEndnote/>
        </w:sectPr>
      </w:pPr>
    </w:p>
    <w:p w14:paraId="751BF88B" w14:textId="3517779B" w:rsidR="00D66221" w:rsidRDefault="00D66221">
      <w:pPr>
        <w:pStyle w:val="BodyText"/>
        <w:kinsoku w:val="0"/>
        <w:overflowPunct w:val="0"/>
        <w:spacing w:before="92" w:line="230" w:lineRule="auto"/>
        <w:ind w:left="117" w:right="38"/>
        <w:jc w:val="both"/>
      </w:pPr>
      <w:bookmarkStart w:id="3" w:name="_bookmark2"/>
      <w:bookmarkEnd w:id="3"/>
      <w:r>
        <w:lastRenderedPageBreak/>
        <w:t xml:space="preserve">Los </w:t>
      </w:r>
      <w:r>
        <w:rPr>
          <w:i/>
          <w:iCs/>
        </w:rPr>
        <w:t>genitales externos femeninos</w:t>
      </w:r>
      <w:r>
        <w:t xml:space="preserve"> normales están formados por el </w:t>
      </w:r>
      <w:r w:rsidR="00670119">
        <w:t>monte de venus</w:t>
      </w:r>
      <w:r>
        <w:t xml:space="preserve"> o pubis, la capucha del clítoris, el clítoris o glande del clítoris, la abertura uretral o abertura urinaria, los labios menores, los labios mayores, las glándulas de Bartolini y la abertura vaginal, separada del ano por el perineo. Toda la zona se denomina vulva. La vagina es un órgano femenino</w:t>
      </w:r>
      <w:r>
        <w:rPr>
          <w:rFonts w:ascii="GloriolaStd-LightItalic" w:hAnsi="GloriolaStd-LightItalic"/>
          <w:i/>
          <w:iCs/>
        </w:rPr>
        <w:t xml:space="preserve"> interno </w:t>
      </w:r>
      <w:r>
        <w:t>que no está incluido explícitamente en la que tipología de la OMS sobre la MGF. Sin embargo, las lesiones o daños a la vagina u otros órganos sexuales, según las circunstancias, también pueden calificarse como mutilaciones, torturas, violaciones, agresiones sexuales y otras formas de violencia flagrante.</w:t>
      </w:r>
    </w:p>
    <w:p w14:paraId="4D1AD7DE" w14:textId="77777777" w:rsidR="00D66221" w:rsidRDefault="00D66221">
      <w:pPr>
        <w:pStyle w:val="BodyText"/>
        <w:kinsoku w:val="0"/>
        <w:overflowPunct w:val="0"/>
        <w:rPr>
          <w:sz w:val="18"/>
          <w:szCs w:val="18"/>
        </w:rPr>
      </w:pPr>
    </w:p>
    <w:p w14:paraId="19D844BB" w14:textId="37B61DC3" w:rsidR="00D66221" w:rsidRDefault="00D66221">
      <w:pPr>
        <w:pStyle w:val="BodyText"/>
        <w:kinsoku w:val="0"/>
        <w:overflowPunct w:val="0"/>
        <w:spacing w:line="230" w:lineRule="auto"/>
        <w:ind w:left="117" w:right="38"/>
        <w:jc w:val="both"/>
      </w:pPr>
      <w:r>
        <w:t>La parte «</w:t>
      </w:r>
      <w:r>
        <w:rPr>
          <w:i/>
          <w:iCs/>
        </w:rPr>
        <w:t>p</w:t>
      </w:r>
      <w:r>
        <w:rPr>
          <w:rFonts w:ascii="GloriolaStd-MediumItalic" w:hAnsi="GloriolaStd-MediumItalic"/>
          <w:i/>
          <w:iCs/>
        </w:rPr>
        <w:t>or razones no médicas»</w:t>
      </w:r>
      <w:r>
        <w:t xml:space="preserve"> de la definición hace referencia a procedimientos que se realizan por razones sociales, psicosexuales, culturales, tradicionales, religiosas y otras razones muy </w:t>
      </w:r>
      <w:r>
        <w:rPr>
          <w:rFonts w:ascii="GloriolaStd-Medium" w:hAnsi="GloriolaStd-Medium"/>
        </w:rPr>
        <w:t xml:space="preserve">diversas y complejas </w:t>
      </w:r>
      <w:r>
        <w:t xml:space="preserve">que con frecuencia están relacionadas entre sí y vinculadas con la desigualdad en los roles sociales y de género. Implica que no existe </w:t>
      </w:r>
      <w:r>
        <w:rPr>
          <w:rFonts w:ascii="GloriolaStd-Medium" w:hAnsi="GloriolaStd-Medium"/>
        </w:rPr>
        <w:t>ninguna justificación</w:t>
      </w:r>
      <w:r>
        <w:t xml:space="preserve">, necesidad y/o beneficios de carácter médico para realizar dichos procedimientos y que son </w:t>
      </w:r>
      <w:r>
        <w:rPr>
          <w:rFonts w:ascii="GloriolaStd-Medium" w:hAnsi="GloriolaStd-Medium"/>
        </w:rPr>
        <w:t>perjudiciales</w:t>
      </w:r>
      <w:r>
        <w:t xml:space="preserve">, tanto </w:t>
      </w:r>
      <w:r>
        <w:rPr>
          <w:rFonts w:ascii="GloriolaStd-Medium" w:hAnsi="GloriolaStd-Medium"/>
        </w:rPr>
        <w:t>física como psicológicamente</w:t>
      </w:r>
      <w:r>
        <w:t>. Estas razones no médicas incluyen la MGF realizada, entre otras cosas, para cumplir con un requisito cultural o tradicional, en la creencia de que es un mandato de la religión, con el fin de controlar la sexualidad y el comportamiento de la mujer en su rol y social y de género, como un proceso de iniciación a la vida adulta, la femineidad y la comunidad, para hacer más casadera a la mujer o en la creencia de que la MGF hace que los genitales sean más limpios o más «femeninos» y más agradables en el plano estético. Los padres suelen optar por perpetuar la práctica en la creencia de que la MGF hará que su hija o hijas sean mujeres respetadas e integrantes plenas de la comunidad. La MGF pueden realizarla curanderos tradicionales, profesionales de la salud o cualquier otra persona con o sin conocimientos médicos. Un procedimiento de MGF «medicalizado» es al menos tan perjudicial como uno tradicional y constituye una violación de los derechos humanos y de la ética médica. La medicalización puede legitimar erróneamente la práctica como sana o beneficiosa para la salud de las niñas y las mujeres desde una perspectiva médica. No tiene en cuenta el hecho de que la MGF constituye una grave violación de los derechos de las mujeres y de las niñas, independientemente de la forma en que se lleve a cabo.</w:t>
      </w:r>
    </w:p>
    <w:p w14:paraId="18D16EB0" w14:textId="77777777" w:rsidR="00D66221" w:rsidRDefault="00D66221">
      <w:pPr>
        <w:pStyle w:val="BodyText"/>
        <w:kinsoku w:val="0"/>
        <w:overflowPunct w:val="0"/>
        <w:spacing w:before="92" w:line="230" w:lineRule="auto"/>
        <w:ind w:left="117" w:right="1415"/>
        <w:jc w:val="both"/>
      </w:pPr>
      <w:r>
        <w:br w:type="column"/>
      </w:r>
      <w:r>
        <w:lastRenderedPageBreak/>
        <w:t>La medicalización puede resultar incluso más perjudicial dado que el procedimiento, por su propia naturaleza, provoca la extracción de una mayor cantidad de tejidos genitales.</w:t>
      </w:r>
    </w:p>
    <w:p w14:paraId="3590049E" w14:textId="77777777" w:rsidR="00D66221" w:rsidRDefault="00D66221">
      <w:pPr>
        <w:pStyle w:val="BodyText"/>
        <w:kinsoku w:val="0"/>
        <w:overflowPunct w:val="0"/>
        <w:spacing w:before="12"/>
        <w:rPr>
          <w:sz w:val="18"/>
          <w:szCs w:val="18"/>
        </w:rPr>
      </w:pPr>
    </w:p>
    <w:p w14:paraId="710E0174" w14:textId="11A15895" w:rsidR="00D66221" w:rsidRDefault="00D66221">
      <w:pPr>
        <w:pStyle w:val="BodyText"/>
        <w:kinsoku w:val="0"/>
        <w:overflowPunct w:val="0"/>
        <w:spacing w:before="1" w:line="230" w:lineRule="auto"/>
        <w:ind w:left="117" w:right="1415"/>
        <w:jc w:val="both"/>
        <w:rPr>
          <w:color w:val="000000"/>
        </w:rPr>
      </w:pPr>
      <w:r>
        <w:t>Las autoridades encargadas de conceder licencias médicas y las asociaciones profesionales, entre ellas la Federación Internacional de Ginecología y Obstetricia (FIGO), se han sumado a las organizaciones de las Naciones Unidas para condenar las acciones que pretenden medicalizar la MGF. La Red Europea contra la Mutilación Genital Femenina —</w:t>
      </w:r>
      <w:hyperlink r:id="rId7" w:history="1">
        <w:r>
          <w:rPr>
            <w:color w:val="9A258F"/>
            <w:u w:val="single"/>
          </w:rPr>
          <w:t>End FGM European Net</w:t>
        </w:r>
      </w:hyperlink>
      <w:r w:rsidR="00D728C0">
        <w:rPr>
          <w:color w:val="9A258F"/>
          <w:u w:val="single"/>
        </w:rPr>
        <w:t>work</w:t>
      </w:r>
      <w:r>
        <w:t xml:space="preserve">— </w:t>
      </w:r>
      <w:r>
        <w:rPr>
          <w:color w:val="000000"/>
        </w:rPr>
        <w:t>y sus miembros que trabajan en los distintos países también las condenan.</w:t>
      </w:r>
    </w:p>
    <w:p w14:paraId="415ABA19" w14:textId="77777777" w:rsidR="00D66221" w:rsidRDefault="00D66221">
      <w:pPr>
        <w:pStyle w:val="BodyText"/>
        <w:kinsoku w:val="0"/>
        <w:overflowPunct w:val="0"/>
        <w:rPr>
          <w:sz w:val="26"/>
          <w:szCs w:val="26"/>
        </w:rPr>
      </w:pPr>
    </w:p>
    <w:p w14:paraId="50A22DC5" w14:textId="77777777" w:rsidR="00D66221" w:rsidRDefault="00D66221">
      <w:pPr>
        <w:pStyle w:val="BodyText"/>
        <w:kinsoku w:val="0"/>
        <w:overflowPunct w:val="0"/>
        <w:rPr>
          <w:sz w:val="26"/>
          <w:szCs w:val="26"/>
        </w:rPr>
      </w:pPr>
    </w:p>
    <w:p w14:paraId="78C2AC7D" w14:textId="77777777" w:rsidR="00D66221" w:rsidRDefault="00D66221">
      <w:pPr>
        <w:pStyle w:val="BodyText"/>
        <w:kinsoku w:val="0"/>
        <w:overflowPunct w:val="0"/>
        <w:rPr>
          <w:sz w:val="26"/>
          <w:szCs w:val="26"/>
        </w:rPr>
      </w:pPr>
    </w:p>
    <w:p w14:paraId="5F603404" w14:textId="77777777" w:rsidR="00D66221" w:rsidRDefault="00D66221">
      <w:pPr>
        <w:pStyle w:val="BodyText"/>
        <w:kinsoku w:val="0"/>
        <w:overflowPunct w:val="0"/>
        <w:rPr>
          <w:sz w:val="26"/>
          <w:szCs w:val="26"/>
        </w:rPr>
      </w:pPr>
    </w:p>
    <w:p w14:paraId="08B859FE" w14:textId="77777777" w:rsidR="00D66221" w:rsidRDefault="00D66221">
      <w:pPr>
        <w:pStyle w:val="BodyText"/>
        <w:kinsoku w:val="0"/>
        <w:overflowPunct w:val="0"/>
        <w:rPr>
          <w:sz w:val="26"/>
          <w:szCs w:val="26"/>
        </w:rPr>
      </w:pPr>
    </w:p>
    <w:p w14:paraId="23612544" w14:textId="77777777" w:rsidR="00D66221" w:rsidRDefault="00D66221">
      <w:pPr>
        <w:pStyle w:val="BodyText"/>
        <w:kinsoku w:val="0"/>
        <w:overflowPunct w:val="0"/>
        <w:rPr>
          <w:sz w:val="26"/>
          <w:szCs w:val="26"/>
        </w:rPr>
      </w:pPr>
    </w:p>
    <w:p w14:paraId="60DF59D3" w14:textId="77777777" w:rsidR="00D66221" w:rsidRDefault="00D66221">
      <w:pPr>
        <w:pStyle w:val="BodyText"/>
        <w:kinsoku w:val="0"/>
        <w:overflowPunct w:val="0"/>
        <w:rPr>
          <w:sz w:val="26"/>
          <w:szCs w:val="26"/>
        </w:rPr>
      </w:pPr>
    </w:p>
    <w:p w14:paraId="7385CF5D" w14:textId="77777777" w:rsidR="00D66221" w:rsidRDefault="00D66221">
      <w:pPr>
        <w:pStyle w:val="BodyText"/>
        <w:kinsoku w:val="0"/>
        <w:overflowPunct w:val="0"/>
        <w:rPr>
          <w:sz w:val="26"/>
          <w:szCs w:val="26"/>
        </w:rPr>
      </w:pPr>
    </w:p>
    <w:p w14:paraId="6F710936" w14:textId="77777777" w:rsidR="00D66221" w:rsidRDefault="00D66221">
      <w:pPr>
        <w:pStyle w:val="BodyText"/>
        <w:kinsoku w:val="0"/>
        <w:overflowPunct w:val="0"/>
        <w:spacing w:before="10"/>
        <w:rPr>
          <w:sz w:val="18"/>
          <w:szCs w:val="18"/>
        </w:rPr>
      </w:pPr>
    </w:p>
    <w:p w14:paraId="5E7B4225" w14:textId="77777777" w:rsidR="00D66221" w:rsidRDefault="00D66221">
      <w:pPr>
        <w:pStyle w:val="Heading2"/>
        <w:numPr>
          <w:ilvl w:val="1"/>
          <w:numId w:val="2"/>
        </w:numPr>
        <w:tabs>
          <w:tab w:val="left" w:pos="571"/>
        </w:tabs>
        <w:kinsoku w:val="0"/>
        <w:overflowPunct w:val="0"/>
        <w:spacing w:before="0" w:line="223" w:lineRule="auto"/>
        <w:ind w:right="1570" w:hanging="453"/>
      </w:pPr>
      <w:r>
        <w:t>La variedad de términos relativos a la MGF</w:t>
      </w:r>
    </w:p>
    <w:p w14:paraId="39A56414" w14:textId="3759D95C" w:rsidR="00D66221" w:rsidRDefault="00D66221">
      <w:pPr>
        <w:pStyle w:val="BodyText"/>
        <w:kinsoku w:val="0"/>
        <w:overflowPunct w:val="0"/>
        <w:spacing w:before="132" w:line="230" w:lineRule="auto"/>
        <w:ind w:left="117" w:right="1414"/>
        <w:jc w:val="both"/>
      </w:pPr>
      <w:r>
        <w:t xml:space="preserve">Entre los </w:t>
      </w:r>
      <w:r w:rsidR="00670119">
        <w:t xml:space="preserve">responsables </w:t>
      </w:r>
      <w:r>
        <w:t>de las políticas y de la promoción de los intereses de las posibles afectadas se emplea una variedad de términos genéricos para referirse a la MGF. Estas denominaciones se ajustan a la definición general de la MGF establecida por la OMS, sin insistir en las diferencias anatómicas entre los distintos tipos de MGF a los que pueden verse sometidas las mujeres y las niñas. Estas denominaciones las emplean los distintos actores que participan en las acciones encaminadas a erradicar la práctica en todo el mundo, por ejemplo, la Asamblea General de las Naciones Unidas</w:t>
      </w:r>
      <w:r>
        <w:rPr>
          <w:sz w:val="11"/>
          <w:szCs w:val="11"/>
        </w:rPr>
        <w:t>4</w:t>
      </w:r>
      <w:r>
        <w:t xml:space="preserve">, organismos de las Naciones Unidas tales como la ONU Mujeres o el UNFPA, organizaciones de la sociedad civil (OSC) y organizaciones no gubernamentales (ONG), autoridades nacionales o activistas, incluidas las </w:t>
      </w:r>
      <w:r w:rsidR="002A320B">
        <w:t>supervivientes</w:t>
      </w:r>
      <w:r>
        <w:t xml:space="preserve"> de la MGF y las comunidades afectadas. También las emplean los proveedores de salud, los investigadores, los académicos, los periodistas y otros profesionales que están en contacto con las comunidades afectadas. Su uso generalmente depende del público objetivo (activistas, </w:t>
      </w:r>
      <w:r w:rsidR="002A320B">
        <w:t>supervivientes</w:t>
      </w:r>
      <w:r>
        <w:t>, encargados de formular políticas, funcionarios responsables de cuestiones relacionadas con el asilo, comunidades, etc.) o del grado de conocimiento y sensibilización acerca del tema.</w:t>
      </w:r>
    </w:p>
    <w:p w14:paraId="18FD168E" w14:textId="77777777" w:rsidR="00D66221" w:rsidRDefault="00D66221">
      <w:pPr>
        <w:pStyle w:val="BodyText"/>
        <w:kinsoku w:val="0"/>
        <w:overflowPunct w:val="0"/>
        <w:spacing w:before="132" w:line="230" w:lineRule="auto"/>
        <w:ind w:left="117" w:right="1414"/>
        <w:jc w:val="both"/>
        <w:sectPr w:rsidR="00D66221">
          <w:type w:val="continuous"/>
          <w:pgSz w:w="11910" w:h="16840"/>
          <w:pgMar w:top="840" w:right="0" w:bottom="280" w:left="1300" w:header="720" w:footer="720" w:gutter="0"/>
          <w:cols w:num="2" w:space="720" w:equalWidth="0">
            <w:col w:w="4524" w:space="182"/>
            <w:col w:w="5904"/>
          </w:cols>
          <w:noEndnote/>
        </w:sectPr>
      </w:pPr>
    </w:p>
    <w:p w14:paraId="4056FD68" w14:textId="77777777" w:rsidR="00D66221" w:rsidRDefault="00D66221">
      <w:pPr>
        <w:pStyle w:val="BodyText"/>
        <w:kinsoku w:val="0"/>
        <w:overflowPunct w:val="0"/>
      </w:pPr>
    </w:p>
    <w:p w14:paraId="644464FB" w14:textId="77777777" w:rsidR="00D66221" w:rsidRDefault="00D66221">
      <w:pPr>
        <w:pStyle w:val="BodyText"/>
        <w:kinsoku w:val="0"/>
        <w:overflowPunct w:val="0"/>
        <w:spacing w:before="4"/>
        <w:rPr>
          <w:sz w:val="14"/>
          <w:szCs w:val="14"/>
        </w:rPr>
      </w:pPr>
    </w:p>
    <w:p w14:paraId="2EE2E819" w14:textId="77777777" w:rsidR="00D66221" w:rsidRDefault="00D66221">
      <w:pPr>
        <w:pStyle w:val="ListParagraph"/>
        <w:numPr>
          <w:ilvl w:val="0"/>
          <w:numId w:val="3"/>
        </w:numPr>
        <w:tabs>
          <w:tab w:val="left" w:pos="345"/>
        </w:tabs>
        <w:kinsoku w:val="0"/>
        <w:overflowPunct w:val="0"/>
        <w:spacing w:line="199" w:lineRule="auto"/>
        <w:ind w:right="1637"/>
        <w:rPr>
          <w:color w:val="58595B"/>
          <w:sz w:val="16"/>
          <w:szCs w:val="16"/>
        </w:rPr>
      </w:pPr>
      <w:r>
        <w:rPr>
          <w:color w:val="58595B"/>
          <w:sz w:val="16"/>
          <w:szCs w:val="16"/>
        </w:rPr>
        <w:t xml:space="preserve">Asamblea General de las Naciones Unidas, A/RES/69/150, </w:t>
      </w:r>
      <w:r>
        <w:rPr>
          <w:rFonts w:ascii="GloriolaStd-LightItalic" w:hAnsi="GloriolaStd-LightItalic"/>
          <w:i/>
          <w:iCs/>
          <w:color w:val="58595B"/>
          <w:sz w:val="16"/>
          <w:szCs w:val="16"/>
        </w:rPr>
        <w:t xml:space="preserve">Intensifying global efforts for the elimination of female genital </w:t>
      </w:r>
      <w:r>
        <w:rPr>
          <w:rFonts w:ascii="GloriolaStd-LightItalic" w:hAnsi="GloriolaStd-LightItalic"/>
          <w:i/>
          <w:iCs/>
          <w:color w:val="58595B"/>
          <w:sz w:val="16"/>
          <w:szCs w:val="16"/>
        </w:rPr>
        <w:lastRenderedPageBreak/>
        <w:t>mutilations</w:t>
      </w:r>
      <w:r>
        <w:rPr>
          <w:color w:val="58595B"/>
          <w:sz w:val="16"/>
          <w:szCs w:val="16"/>
        </w:rPr>
        <w:t xml:space="preserve">, 18 de diciembre de 2014 </w:t>
      </w:r>
      <w:r>
        <w:rPr>
          <w:color w:val="58595B"/>
          <w:sz w:val="16"/>
          <w:szCs w:val="16"/>
          <w:u w:val="single"/>
        </w:rPr>
        <w:t>http://www.un.org/en/ga/search/view_doc.asp?symbol=A/RES/69/150</w:t>
      </w:r>
      <w:r>
        <w:rPr>
          <w:color w:val="58595B"/>
          <w:sz w:val="16"/>
          <w:szCs w:val="16"/>
        </w:rPr>
        <w:t xml:space="preserve"> (Consultado el 28 de noviembre de 2016)</w:t>
      </w:r>
    </w:p>
    <w:p w14:paraId="51EEC4AC" w14:textId="77777777" w:rsidR="00D66221" w:rsidRDefault="00D66221">
      <w:pPr>
        <w:pStyle w:val="ListParagraph"/>
        <w:numPr>
          <w:ilvl w:val="0"/>
          <w:numId w:val="3"/>
        </w:numPr>
        <w:tabs>
          <w:tab w:val="left" w:pos="345"/>
        </w:tabs>
        <w:kinsoku w:val="0"/>
        <w:overflowPunct w:val="0"/>
        <w:spacing w:line="199" w:lineRule="auto"/>
        <w:ind w:right="1637"/>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4FFBE029" w14:textId="77777777" w:rsidR="00D66221" w:rsidRDefault="00D66221">
      <w:pPr>
        <w:pStyle w:val="BodyText"/>
        <w:kinsoku w:val="0"/>
        <w:overflowPunct w:val="0"/>
        <w:rPr>
          <w:sz w:val="16"/>
          <w:szCs w:val="16"/>
        </w:rPr>
      </w:pPr>
    </w:p>
    <w:p w14:paraId="0CD37165" w14:textId="1B2A1857" w:rsidR="00D66221" w:rsidRDefault="00D66221">
      <w:pPr>
        <w:pStyle w:val="BodyText"/>
        <w:kinsoku w:val="0"/>
        <w:overflowPunct w:val="0"/>
        <w:spacing w:before="92" w:line="230" w:lineRule="auto"/>
        <w:ind w:left="117" w:right="6120"/>
        <w:jc w:val="both"/>
      </w:pPr>
      <w:bookmarkStart w:id="4" w:name="_bookmark3"/>
      <w:bookmarkEnd w:id="4"/>
      <w:r>
        <w:t xml:space="preserve">El término </w:t>
      </w:r>
      <w:r>
        <w:rPr>
          <w:rFonts w:ascii="GloriolaStd-MediumItalic" w:hAnsi="GloriolaStd-MediumItalic"/>
          <w:i/>
          <w:iCs/>
        </w:rPr>
        <w:t xml:space="preserve">mutilación genital femenina (MGF) </w:t>
      </w:r>
      <w:r>
        <w:t xml:space="preserve">se ha venido utilizando desde finales de la década de los setenta y fue adoptado en los textos internacionales en década de los noventa del siglo pasado. Fue aprobado originalmente en oposición al término más común de </w:t>
      </w:r>
      <w:r>
        <w:rPr>
          <w:rFonts w:ascii="GloriolaStd-MediumItalic" w:hAnsi="GloriolaStd-MediumItalic"/>
          <w:i/>
          <w:iCs/>
        </w:rPr>
        <w:t>circuncisión femenina</w:t>
      </w:r>
      <w:r>
        <w:t xml:space="preserve">, que se consideró demasiado cercano al término de </w:t>
      </w:r>
      <w:r>
        <w:rPr>
          <w:rFonts w:ascii="GloriolaStd-LightItalic" w:hAnsi="GloriolaStd-LightItalic"/>
          <w:i/>
          <w:iCs/>
        </w:rPr>
        <w:t>circuncisión masculina</w:t>
      </w:r>
      <w:r>
        <w:t xml:space="preserve">. </w:t>
      </w:r>
      <w:r>
        <w:rPr>
          <w:sz w:val="11"/>
          <w:szCs w:val="11"/>
        </w:rPr>
        <w:t xml:space="preserve">5 </w:t>
      </w:r>
      <w:r>
        <w:t xml:space="preserve">como Red, utilizamos el término MGF como una forma de describir una violación de los derechos humanos </w:t>
      </w:r>
      <w:r>
        <w:rPr>
          <w:i/>
          <w:iCs/>
        </w:rPr>
        <w:t>per se</w:t>
      </w:r>
      <w:r>
        <w:t>, es decir, sin compararla con la circuncisión masculina y sin condonar esta última por omisión.</w:t>
      </w:r>
    </w:p>
    <w:p w14:paraId="26B1E3C5" w14:textId="77777777" w:rsidR="00D66221" w:rsidRDefault="00D66221">
      <w:pPr>
        <w:pStyle w:val="BodyText"/>
        <w:kinsoku w:val="0"/>
        <w:overflowPunct w:val="0"/>
        <w:spacing w:before="12"/>
        <w:rPr>
          <w:sz w:val="11"/>
          <w:szCs w:val="11"/>
        </w:rPr>
      </w:pPr>
    </w:p>
    <w:p w14:paraId="117BB943" w14:textId="77777777" w:rsidR="00D66221" w:rsidRDefault="00D66221">
      <w:pPr>
        <w:pStyle w:val="BodyText"/>
        <w:kinsoku w:val="0"/>
        <w:overflowPunct w:val="0"/>
        <w:spacing w:before="12"/>
        <w:rPr>
          <w:sz w:val="11"/>
          <w:szCs w:val="11"/>
        </w:rPr>
        <w:sectPr w:rsidR="00D66221">
          <w:pgSz w:w="11910" w:h="16840"/>
          <w:pgMar w:top="1580" w:right="0" w:bottom="280" w:left="1300" w:header="720" w:footer="720" w:gutter="0"/>
          <w:cols w:space="720"/>
          <w:noEndnote/>
        </w:sectPr>
      </w:pPr>
    </w:p>
    <w:p w14:paraId="527EF7C3" w14:textId="43696419" w:rsidR="00D66221" w:rsidRDefault="00D66221">
      <w:pPr>
        <w:pStyle w:val="BodyText"/>
        <w:kinsoku w:val="0"/>
        <w:overflowPunct w:val="0"/>
        <w:spacing w:before="92" w:line="230" w:lineRule="auto"/>
        <w:ind w:left="117" w:right="38"/>
        <w:jc w:val="both"/>
      </w:pPr>
      <w:r>
        <w:lastRenderedPageBreak/>
        <w:t xml:space="preserve">A finales de la década de los noventa, el término </w:t>
      </w:r>
      <w:r w:rsidR="00670119">
        <w:rPr>
          <w:rFonts w:ascii="GloriolaStd-MediumItalic" w:hAnsi="GloriolaStd-MediumItalic"/>
          <w:i/>
          <w:iCs/>
        </w:rPr>
        <w:t xml:space="preserve">corte </w:t>
      </w:r>
      <w:r>
        <w:rPr>
          <w:rFonts w:ascii="GloriolaStd-MediumItalic" w:hAnsi="GloriolaStd-MediumItalic"/>
          <w:i/>
          <w:iCs/>
        </w:rPr>
        <w:t xml:space="preserve">genital </w:t>
      </w:r>
      <w:r w:rsidR="00670119">
        <w:rPr>
          <w:rFonts w:ascii="GloriolaStd-MediumItalic" w:hAnsi="GloriolaStd-MediumItalic"/>
          <w:i/>
          <w:iCs/>
        </w:rPr>
        <w:t xml:space="preserve">femenino </w:t>
      </w:r>
      <w:r>
        <w:rPr>
          <w:rFonts w:ascii="GloriolaStd-MediumItalic" w:hAnsi="GloriolaStd-MediumItalic"/>
          <w:i/>
          <w:iCs/>
        </w:rPr>
        <w:t>(</w:t>
      </w:r>
      <w:r w:rsidR="00670119">
        <w:rPr>
          <w:rFonts w:ascii="GloriolaStd-MediumItalic" w:hAnsi="GloriolaStd-MediumItalic"/>
          <w:i/>
          <w:iCs/>
        </w:rPr>
        <w:t>CGF</w:t>
      </w:r>
      <w:r>
        <w:rPr>
          <w:rFonts w:ascii="GloriolaStd-MediumItalic" w:hAnsi="GloriolaStd-MediumItalic"/>
          <w:i/>
          <w:iCs/>
        </w:rPr>
        <w:t xml:space="preserve">) </w:t>
      </w:r>
      <w:r>
        <w:t xml:space="preserve">fue adoptado por algunas organizaciones, con el propósito declarado de utilizar una terminología más sensible desde una perspectiva cultural para describir la práctica. De hecho, consideraron que la palabra </w:t>
      </w:r>
      <w:r>
        <w:rPr>
          <w:rFonts w:ascii="GloriolaStd-LightItalic" w:hAnsi="GloriolaStd-LightItalic"/>
          <w:i/>
          <w:iCs/>
        </w:rPr>
        <w:t xml:space="preserve">mutilación </w:t>
      </w:r>
      <w:r>
        <w:t>suponía un juicio de valor hacia las comunidades afectadas e implicaba una intención malévola de las familias, lo que podría perjudicar el movimiento contra la MGF</w:t>
      </w:r>
      <w:r>
        <w:rPr>
          <w:sz w:val="11"/>
          <w:szCs w:val="11"/>
        </w:rPr>
        <w:t>6</w:t>
      </w:r>
      <w:r>
        <w:t>. Algunas organizaciones, tales como el UNFPA y la UNICEF, también utilizan la combinación</w:t>
      </w:r>
      <w:r>
        <w:rPr>
          <w:rFonts w:ascii="GloriolaStd-MediumItalic" w:hAnsi="GloriolaStd-MediumItalic"/>
          <w:i/>
          <w:iCs/>
        </w:rPr>
        <w:t xml:space="preserve"> mutilación/</w:t>
      </w:r>
      <w:r w:rsidR="00670119">
        <w:rPr>
          <w:rFonts w:ascii="GloriolaStd-MediumItalic" w:hAnsi="GloriolaStd-MediumItalic"/>
          <w:i/>
          <w:iCs/>
        </w:rPr>
        <w:t xml:space="preserve">corte </w:t>
      </w:r>
      <w:r>
        <w:rPr>
          <w:rFonts w:ascii="GloriolaStd-MediumItalic" w:hAnsi="GloriolaStd-MediumItalic"/>
          <w:i/>
          <w:iCs/>
        </w:rPr>
        <w:t xml:space="preserve">genital </w:t>
      </w:r>
      <w:r w:rsidR="00670119">
        <w:rPr>
          <w:rFonts w:ascii="GloriolaStd-MediumItalic" w:hAnsi="GloriolaStd-MediumItalic"/>
          <w:i/>
          <w:iCs/>
        </w:rPr>
        <w:t>femenino</w:t>
      </w:r>
      <w:r>
        <w:rPr>
          <w:rFonts w:ascii="GloriolaStd-LightItalic" w:hAnsi="GloriolaStd-LightItalic"/>
          <w:i/>
          <w:iCs/>
        </w:rPr>
        <w:t xml:space="preserve">, </w:t>
      </w:r>
      <w:r>
        <w:t>término con el que se pretende subrayar un uso contextual de los términos en las políticas y en el trabajo con las comunidades.</w:t>
      </w:r>
    </w:p>
    <w:p w14:paraId="6BF3C50F" w14:textId="77777777" w:rsidR="00D66221" w:rsidRDefault="00D66221">
      <w:pPr>
        <w:pStyle w:val="BodyText"/>
        <w:kinsoku w:val="0"/>
        <w:overflowPunct w:val="0"/>
        <w:spacing w:before="1"/>
        <w:rPr>
          <w:sz w:val="18"/>
          <w:szCs w:val="18"/>
        </w:rPr>
      </w:pPr>
    </w:p>
    <w:p w14:paraId="01DBCCC2" w14:textId="1CFCBCC1" w:rsidR="00D66221" w:rsidRDefault="00D66221">
      <w:pPr>
        <w:pStyle w:val="BodyText"/>
        <w:kinsoku w:val="0"/>
        <w:overflowPunct w:val="0"/>
        <w:spacing w:line="230" w:lineRule="auto"/>
        <w:ind w:left="117" w:right="38"/>
        <w:jc w:val="both"/>
      </w:pPr>
      <w:r>
        <w:t>La práctica de la MGF también se describe mediante expresiones vernáculas, propias de un país, región o comunidad. En los países de habla francesa, se emplea el término</w:t>
      </w:r>
      <w:r>
        <w:rPr>
          <w:rFonts w:ascii="GloriolaStd-MediumItalic" w:hAnsi="GloriolaStd-MediumItalic"/>
          <w:i/>
          <w:iCs/>
        </w:rPr>
        <w:t xml:space="preserve"> mutilación sexual femenina</w:t>
      </w:r>
      <w:r>
        <w:rPr>
          <w:sz w:val="11"/>
          <w:szCs w:val="11"/>
        </w:rPr>
        <w:t>7</w:t>
      </w:r>
      <w:r>
        <w:t xml:space="preserve">, mediante el cual se subraya el control sexual que implica la MGF y sus efectos en la mujer y en la sexualidad de la pareja. Además del efecto simbólico de la palabra «sexual» en el imaginario colectivo, los términos «sexual» y «genital» son sinónimos en este contexto. En los países de habla francesa, en particular, también se emplea el término la </w:t>
      </w:r>
      <w:r>
        <w:rPr>
          <w:rFonts w:ascii="GloriolaStd-LightItalic" w:hAnsi="GloriolaStd-LightItalic"/>
          <w:i/>
          <w:iCs/>
        </w:rPr>
        <w:t>escisión</w:t>
      </w:r>
      <w:r>
        <w:t>, que se refiere al tipo 2 en la terminología de la OMS, como un término genérico que abarca todas las formas de MGF. En un determinado número</w:t>
      </w:r>
    </w:p>
    <w:p w14:paraId="684AEF23" w14:textId="77777777" w:rsidR="00D66221" w:rsidRDefault="00D66221">
      <w:pPr>
        <w:pStyle w:val="BodyText"/>
        <w:kinsoku w:val="0"/>
        <w:overflowPunct w:val="0"/>
        <w:rPr>
          <w:sz w:val="22"/>
          <w:szCs w:val="22"/>
        </w:rPr>
      </w:pPr>
      <w:r>
        <w:br w:type="column"/>
      </w:r>
    </w:p>
    <w:p w14:paraId="1DC5088E" w14:textId="77777777" w:rsidR="00D66221" w:rsidRDefault="00D66221">
      <w:pPr>
        <w:pStyle w:val="BodyText"/>
        <w:kinsoku w:val="0"/>
        <w:overflowPunct w:val="0"/>
        <w:rPr>
          <w:sz w:val="22"/>
          <w:szCs w:val="22"/>
        </w:rPr>
      </w:pPr>
    </w:p>
    <w:p w14:paraId="2AE5FD37" w14:textId="77777777" w:rsidR="00D66221" w:rsidRDefault="00D66221">
      <w:pPr>
        <w:pStyle w:val="BodyText"/>
        <w:kinsoku w:val="0"/>
        <w:overflowPunct w:val="0"/>
        <w:spacing w:before="6"/>
        <w:rPr>
          <w:sz w:val="30"/>
          <w:szCs w:val="30"/>
        </w:rPr>
      </w:pPr>
    </w:p>
    <w:p w14:paraId="542FE159" w14:textId="77777777" w:rsidR="00D66221" w:rsidRDefault="00D66221">
      <w:pPr>
        <w:pStyle w:val="BodyText"/>
        <w:kinsoku w:val="0"/>
        <w:overflowPunct w:val="0"/>
        <w:spacing w:line="223" w:lineRule="exact"/>
        <w:ind w:left="117"/>
        <w:rPr>
          <w:color w:val="58595B"/>
          <w:sz w:val="17"/>
          <w:szCs w:val="17"/>
        </w:rPr>
      </w:pPr>
      <w:r>
        <w:rPr>
          <w:color w:val="58595B"/>
          <w:sz w:val="17"/>
          <w:szCs w:val="17"/>
        </w:rPr>
        <w:t>L’origine del mondo (El origen del mundo)</w:t>
      </w:r>
    </w:p>
    <w:p w14:paraId="4BE50047" w14:textId="77777777" w:rsidR="00D66221" w:rsidRDefault="00D66221">
      <w:pPr>
        <w:pStyle w:val="BodyText"/>
        <w:kinsoku w:val="0"/>
        <w:overflowPunct w:val="0"/>
        <w:spacing w:line="223" w:lineRule="exact"/>
        <w:ind w:left="117"/>
        <w:rPr>
          <w:color w:val="58595B"/>
          <w:sz w:val="17"/>
          <w:szCs w:val="17"/>
        </w:rPr>
      </w:pPr>
      <w:r>
        <w:rPr>
          <w:color w:val="58595B"/>
          <w:sz w:val="17"/>
          <w:szCs w:val="17"/>
        </w:rPr>
        <w:t>© Stefano Scagliarini – 21 de junio de 2015</w:t>
      </w:r>
    </w:p>
    <w:p w14:paraId="2B4881AE" w14:textId="77777777" w:rsidR="00D66221" w:rsidRDefault="00D66221">
      <w:pPr>
        <w:pStyle w:val="BodyText"/>
        <w:kinsoku w:val="0"/>
        <w:overflowPunct w:val="0"/>
        <w:spacing w:before="11"/>
        <w:rPr>
          <w:sz w:val="19"/>
          <w:szCs w:val="19"/>
        </w:rPr>
      </w:pPr>
    </w:p>
    <w:p w14:paraId="17A3BA8B" w14:textId="06CCE402" w:rsidR="00D66221" w:rsidRDefault="00D66221">
      <w:pPr>
        <w:pStyle w:val="BodyText"/>
        <w:kinsoku w:val="0"/>
        <w:overflowPunct w:val="0"/>
        <w:spacing w:line="230" w:lineRule="auto"/>
        <w:ind w:left="117" w:right="1415"/>
        <w:jc w:val="both"/>
      </w:pPr>
      <w:r>
        <w:t xml:space="preserve">de países, los términos </w:t>
      </w:r>
      <w:r>
        <w:rPr>
          <w:rFonts w:ascii="GloriolaStd-LightItalic" w:hAnsi="GloriolaStd-LightItalic"/>
          <w:i/>
          <w:iCs/>
        </w:rPr>
        <w:t xml:space="preserve">circuncisión </w:t>
      </w:r>
      <w:r>
        <w:t xml:space="preserve">o </w:t>
      </w:r>
      <w:r>
        <w:rPr>
          <w:rFonts w:ascii="GloriolaStd-LightItalic" w:hAnsi="GloriolaStd-LightItalic"/>
          <w:i/>
          <w:iCs/>
        </w:rPr>
        <w:t xml:space="preserve">circuncisión femenina </w:t>
      </w:r>
      <w:r>
        <w:t>o</w:t>
      </w:r>
      <w:r>
        <w:rPr>
          <w:rFonts w:ascii="GloriolaStd-LightItalic" w:hAnsi="GloriolaStd-LightItalic"/>
          <w:i/>
          <w:iCs/>
        </w:rPr>
        <w:t xml:space="preserve"> escisión femenina</w:t>
      </w:r>
      <w:r>
        <w:t xml:space="preserve">, son también muy comunes y se utilizan como términos genéricos. Son menos polémicos que el término MGF. La MGF también se caracteriza mediante muchos términos específicos de idiomas, comunidades o países, tales como </w:t>
      </w:r>
      <w:r>
        <w:rPr>
          <w:rFonts w:ascii="GloriolaStd-LightItalic" w:hAnsi="GloriolaStd-LightItalic"/>
          <w:i/>
          <w:iCs/>
        </w:rPr>
        <w:t>iniciación</w:t>
      </w:r>
      <w:r>
        <w:t xml:space="preserve">, </w:t>
      </w:r>
      <w:r>
        <w:rPr>
          <w:rFonts w:ascii="GloriolaStd-LightItalic" w:hAnsi="GloriolaStd-LightItalic"/>
          <w:i/>
          <w:iCs/>
        </w:rPr>
        <w:t xml:space="preserve">bondo, sunna </w:t>
      </w:r>
      <w:r>
        <w:t xml:space="preserve">o </w:t>
      </w:r>
      <w:r>
        <w:rPr>
          <w:rFonts w:ascii="GloriolaStd-LightItalic" w:hAnsi="GloriolaStd-LightItalic"/>
          <w:i/>
          <w:iCs/>
        </w:rPr>
        <w:t>khutna</w:t>
      </w:r>
      <w:r>
        <w:rPr>
          <w:sz w:val="11"/>
          <w:szCs w:val="11"/>
        </w:rPr>
        <w:t>8</w:t>
      </w:r>
      <w:r>
        <w:t>.</w:t>
      </w:r>
    </w:p>
    <w:p w14:paraId="7F382129" w14:textId="77777777" w:rsidR="00D66221" w:rsidRDefault="00D66221">
      <w:pPr>
        <w:pStyle w:val="BodyText"/>
        <w:kinsoku w:val="0"/>
        <w:overflowPunct w:val="0"/>
        <w:spacing w:before="12"/>
        <w:rPr>
          <w:sz w:val="32"/>
          <w:szCs w:val="32"/>
        </w:rPr>
      </w:pPr>
    </w:p>
    <w:p w14:paraId="275D2AB7" w14:textId="77777777" w:rsidR="00D66221" w:rsidRDefault="00D66221">
      <w:pPr>
        <w:pStyle w:val="Heading2"/>
        <w:numPr>
          <w:ilvl w:val="1"/>
          <w:numId w:val="2"/>
        </w:numPr>
        <w:tabs>
          <w:tab w:val="left" w:pos="571"/>
        </w:tabs>
        <w:kinsoku w:val="0"/>
        <w:overflowPunct w:val="0"/>
        <w:spacing w:line="223" w:lineRule="auto"/>
        <w:ind w:right="1863" w:hanging="453"/>
      </w:pPr>
      <w:r>
        <w:t>La Red y el uso del término MGF</w:t>
      </w:r>
    </w:p>
    <w:p w14:paraId="3C3C7C08" w14:textId="77777777" w:rsidR="00D66221" w:rsidRDefault="00D66221">
      <w:pPr>
        <w:pStyle w:val="BodyText"/>
        <w:kinsoku w:val="0"/>
        <w:overflowPunct w:val="0"/>
        <w:spacing w:before="132" w:line="230" w:lineRule="auto"/>
        <w:ind w:left="117" w:right="1414"/>
        <w:jc w:val="both"/>
      </w:pPr>
      <w:r>
        <w:t xml:space="preserve">Como Red europea, hemos decidido adoptar el término </w:t>
      </w:r>
      <w:r>
        <w:rPr>
          <w:rFonts w:ascii="GloriolaStd-LightItalic" w:hAnsi="GloriolaStd-LightItalic"/>
          <w:i/>
          <w:iCs/>
        </w:rPr>
        <w:t xml:space="preserve">mutilación genital femenina </w:t>
      </w:r>
      <w:r>
        <w:t>en nuestras acciones de promoción y comunicación dado que es el que se utiliza en las políticas</w:t>
      </w:r>
      <w:r>
        <w:rPr>
          <w:sz w:val="11"/>
          <w:szCs w:val="11"/>
        </w:rPr>
        <w:t>9</w:t>
      </w:r>
      <w:r>
        <w:t>/</w:t>
      </w:r>
      <w:r>
        <w:rPr>
          <w:sz w:val="11"/>
          <w:szCs w:val="11"/>
        </w:rPr>
        <w:t>10</w:t>
      </w:r>
      <w:r>
        <w:t>y en la legislación europeas</w:t>
      </w:r>
      <w:r>
        <w:rPr>
          <w:sz w:val="11"/>
          <w:szCs w:val="11"/>
        </w:rPr>
        <w:t>11</w:t>
      </w:r>
      <w:r>
        <w:t xml:space="preserve">. Es también una manera de transmitir el consenso internacional en contra de la práctica y de formar </w:t>
      </w:r>
      <w:r>
        <w:rPr>
          <w:rFonts w:ascii="GloriolaStd-Medium" w:hAnsi="GloriolaStd-Medium"/>
        </w:rPr>
        <w:t xml:space="preserve">parte del movimiento mundial </w:t>
      </w:r>
      <w:r>
        <w:t>que lucha por su erradicación. La Red crea un entorno que hace posible</w:t>
      </w:r>
    </w:p>
    <w:p w14:paraId="776F18AB" w14:textId="77777777" w:rsidR="00D66221" w:rsidRDefault="00D66221">
      <w:pPr>
        <w:pStyle w:val="BodyText"/>
        <w:kinsoku w:val="0"/>
        <w:overflowPunct w:val="0"/>
        <w:spacing w:before="132" w:line="230" w:lineRule="auto"/>
        <w:ind w:left="117" w:right="1414"/>
        <w:jc w:val="both"/>
        <w:sectPr w:rsidR="00D66221">
          <w:type w:val="continuous"/>
          <w:pgSz w:w="11910" w:h="16840"/>
          <w:pgMar w:top="840" w:right="0" w:bottom="280" w:left="1300" w:header="720" w:footer="720" w:gutter="0"/>
          <w:cols w:num="2" w:space="720" w:equalWidth="0">
            <w:col w:w="4524" w:space="182"/>
            <w:col w:w="5904"/>
          </w:cols>
          <w:noEndnote/>
        </w:sectPr>
      </w:pPr>
    </w:p>
    <w:p w14:paraId="7C12492F" w14:textId="77777777" w:rsidR="00D66221" w:rsidRDefault="00D66221">
      <w:pPr>
        <w:pStyle w:val="BodyText"/>
        <w:kinsoku w:val="0"/>
        <w:overflowPunct w:val="0"/>
      </w:pPr>
    </w:p>
    <w:p w14:paraId="648E9405" w14:textId="77777777" w:rsidR="00D66221" w:rsidRDefault="00D66221">
      <w:pPr>
        <w:pStyle w:val="BodyText"/>
        <w:kinsoku w:val="0"/>
        <w:overflowPunct w:val="0"/>
        <w:spacing w:before="3"/>
        <w:rPr>
          <w:sz w:val="16"/>
          <w:szCs w:val="16"/>
        </w:rPr>
      </w:pPr>
    </w:p>
    <w:p w14:paraId="4CD17F13" w14:textId="6EEE641A" w:rsidR="00D66221" w:rsidRDefault="00D66221">
      <w:pPr>
        <w:pStyle w:val="ListParagraph"/>
        <w:numPr>
          <w:ilvl w:val="0"/>
          <w:numId w:val="3"/>
        </w:numPr>
        <w:tabs>
          <w:tab w:val="left" w:pos="345"/>
        </w:tabs>
        <w:kinsoku w:val="0"/>
        <w:overflowPunct w:val="0"/>
        <w:spacing w:line="199" w:lineRule="auto"/>
        <w:ind w:right="1551"/>
        <w:rPr>
          <w:color w:val="58595B"/>
          <w:sz w:val="16"/>
          <w:szCs w:val="16"/>
        </w:rPr>
      </w:pPr>
      <w:r>
        <w:rPr>
          <w:color w:val="58595B"/>
          <w:sz w:val="16"/>
          <w:szCs w:val="16"/>
        </w:rPr>
        <w:t xml:space="preserve">UNFPA, </w:t>
      </w:r>
      <w:r>
        <w:rPr>
          <w:rFonts w:ascii="GloriolaStd-LightItalic" w:hAnsi="GloriolaStd-LightItalic"/>
          <w:i/>
          <w:iCs/>
          <w:color w:val="58595B"/>
          <w:sz w:val="16"/>
          <w:szCs w:val="16"/>
        </w:rPr>
        <w:t>Female genital mutilation (FGM) Frequently Asked Questions</w:t>
      </w:r>
      <w:r>
        <w:rPr>
          <w:color w:val="58595B"/>
          <w:sz w:val="16"/>
          <w:szCs w:val="16"/>
        </w:rPr>
        <w:t xml:space="preserve">, diciembre de 2015 </w:t>
      </w:r>
      <w:hyperlink r:id="rId8" w:history="1">
        <w:r w:rsidR="00D728C0" w:rsidRPr="00306C20">
          <w:rPr>
            <w:rStyle w:val="Hyperlink"/>
            <w:sz w:val="16"/>
            <w:szCs w:val="16"/>
          </w:rPr>
          <w:t>http://www.unfpa.org/resources/female-</w:t>
        </w:r>
      </w:hyperlink>
      <w:hyperlink r:id="rId9" w:anchor="UNFPA_terminology" w:history="1">
        <w:r>
          <w:rPr>
            <w:color w:val="58595B"/>
            <w:sz w:val="16"/>
            <w:szCs w:val="16"/>
            <w:u w:val="single"/>
          </w:rPr>
          <w:t xml:space="preserve">  genital-mutilation-fgm-frequently-asked-questions#UNFPA_terminology</w:t>
        </w:r>
      </w:hyperlink>
      <w:r>
        <w:rPr>
          <w:color w:val="58595B"/>
          <w:sz w:val="16"/>
          <w:szCs w:val="16"/>
        </w:rPr>
        <w:t>(Consultado el 28 de noviembre de 2016)</w:t>
      </w:r>
    </w:p>
    <w:p w14:paraId="1C04CE07" w14:textId="77777777" w:rsidR="00D66221" w:rsidRDefault="00D66221">
      <w:pPr>
        <w:pStyle w:val="ListParagraph"/>
        <w:numPr>
          <w:ilvl w:val="0"/>
          <w:numId w:val="3"/>
        </w:numPr>
        <w:tabs>
          <w:tab w:val="left" w:pos="345"/>
        </w:tabs>
        <w:kinsoku w:val="0"/>
        <w:overflowPunct w:val="0"/>
        <w:spacing w:before="30"/>
        <w:rPr>
          <w:color w:val="58595B"/>
          <w:sz w:val="16"/>
          <w:szCs w:val="16"/>
        </w:rPr>
      </w:pPr>
      <w:r>
        <w:rPr>
          <w:color w:val="58595B"/>
          <w:sz w:val="16"/>
          <w:szCs w:val="16"/>
        </w:rPr>
        <w:t>Ibid.</w:t>
      </w:r>
    </w:p>
    <w:p w14:paraId="7F609903" w14:textId="77777777" w:rsidR="00D66221" w:rsidRDefault="00D66221">
      <w:pPr>
        <w:pStyle w:val="ListParagraph"/>
        <w:numPr>
          <w:ilvl w:val="0"/>
          <w:numId w:val="3"/>
        </w:numPr>
        <w:tabs>
          <w:tab w:val="left" w:pos="345"/>
        </w:tabs>
        <w:kinsoku w:val="0"/>
        <w:overflowPunct w:val="0"/>
        <w:spacing w:before="19"/>
        <w:rPr>
          <w:color w:val="58595B"/>
          <w:sz w:val="16"/>
          <w:szCs w:val="16"/>
        </w:rPr>
      </w:pPr>
      <w:r>
        <w:rPr>
          <w:color w:val="58595B"/>
          <w:sz w:val="16"/>
          <w:szCs w:val="16"/>
        </w:rPr>
        <w:t>Mutilations sexuelles féminines</w:t>
      </w:r>
    </w:p>
    <w:p w14:paraId="37DB0A51" w14:textId="757B75F3" w:rsidR="00D66221" w:rsidRPr="00D728C0" w:rsidRDefault="00D66221">
      <w:pPr>
        <w:pStyle w:val="ListParagraph"/>
        <w:numPr>
          <w:ilvl w:val="0"/>
          <w:numId w:val="3"/>
        </w:numPr>
        <w:tabs>
          <w:tab w:val="left" w:pos="345"/>
        </w:tabs>
        <w:kinsoku w:val="0"/>
        <w:overflowPunct w:val="0"/>
        <w:spacing w:before="50" w:line="201" w:lineRule="auto"/>
        <w:ind w:right="1460"/>
        <w:rPr>
          <w:color w:val="58595B"/>
          <w:sz w:val="16"/>
          <w:szCs w:val="16"/>
          <w:lang w:val="en-US"/>
        </w:rPr>
      </w:pPr>
      <w:r w:rsidRPr="00D728C0">
        <w:rPr>
          <w:color w:val="58595B"/>
          <w:sz w:val="16"/>
          <w:szCs w:val="16"/>
          <w:lang w:val="en-US"/>
        </w:rPr>
        <w:t xml:space="preserve">United Kingdom Home Office, </w:t>
      </w:r>
      <w:r w:rsidRPr="00D728C0">
        <w:rPr>
          <w:rFonts w:ascii="GloriolaStd-LightItalic" w:hAnsi="GloriolaStd-LightItalic"/>
          <w:i/>
          <w:iCs/>
          <w:color w:val="58595B"/>
          <w:sz w:val="16"/>
          <w:szCs w:val="16"/>
          <w:lang w:val="en-US"/>
        </w:rPr>
        <w:t xml:space="preserve">Multi-agency statutory guidance on female genital mutilation, </w:t>
      </w:r>
      <w:r w:rsidRPr="00D728C0">
        <w:rPr>
          <w:color w:val="58595B"/>
          <w:sz w:val="16"/>
          <w:szCs w:val="16"/>
          <w:lang w:val="en-US"/>
        </w:rPr>
        <w:t xml:space="preserve">Abril de 2016, p. 71 </w:t>
      </w:r>
      <w:hyperlink r:id="rId10" w:history="1">
        <w:r w:rsidRPr="00D728C0">
          <w:rPr>
            <w:color w:val="58595B"/>
            <w:sz w:val="16"/>
            <w:szCs w:val="16"/>
            <w:u w:val="single"/>
            <w:lang w:val="en-US"/>
          </w:rPr>
          <w:t>.https://www.gov</w:t>
        </w:r>
      </w:hyperlink>
      <w:hyperlink r:id="rId11" w:history="1">
        <w:r w:rsidRPr="00D728C0">
          <w:rPr>
            <w:color w:val="58595B"/>
            <w:sz w:val="16"/>
            <w:szCs w:val="16"/>
            <w:u w:val="single"/>
            <w:lang w:val="en-US"/>
          </w:rPr>
          <w:t>. uk/government/uploads/system/uploads/attachment_data/file/512906/Multi_Agency_Statutory_Guidance_on_FGM__-_FINAL</w:t>
        </w:r>
      </w:hyperlink>
      <w:hyperlink r:id="rId12" w:history="1">
        <w:r w:rsidRPr="00D728C0">
          <w:rPr>
            <w:color w:val="58595B"/>
            <w:sz w:val="16"/>
            <w:szCs w:val="16"/>
            <w:u w:val="single"/>
            <w:lang w:val="en-US"/>
          </w:rPr>
          <w:t xml:space="preserve">  pdf</w:t>
        </w:r>
      </w:hyperlink>
      <w:r w:rsidR="00D728C0" w:rsidRPr="00D728C0">
        <w:rPr>
          <w:color w:val="58595B"/>
          <w:sz w:val="16"/>
          <w:szCs w:val="16"/>
          <w:u w:val="single"/>
          <w:lang w:val="en-US"/>
        </w:rPr>
        <w:t xml:space="preserve"> </w:t>
      </w:r>
      <w:r w:rsidRPr="00D728C0">
        <w:rPr>
          <w:color w:val="58595B"/>
          <w:sz w:val="16"/>
          <w:szCs w:val="16"/>
          <w:lang w:val="en-US"/>
        </w:rPr>
        <w:t>(Consultado el 2 de diciembre de 2016)</w:t>
      </w:r>
    </w:p>
    <w:p w14:paraId="69279393" w14:textId="77777777" w:rsidR="00D66221" w:rsidRPr="00D728C0" w:rsidRDefault="00D66221">
      <w:pPr>
        <w:pStyle w:val="ListParagraph"/>
        <w:numPr>
          <w:ilvl w:val="0"/>
          <w:numId w:val="3"/>
        </w:numPr>
        <w:tabs>
          <w:tab w:val="left" w:pos="345"/>
        </w:tabs>
        <w:kinsoku w:val="0"/>
        <w:overflowPunct w:val="0"/>
        <w:spacing w:before="61" w:line="199" w:lineRule="auto"/>
        <w:ind w:right="2518"/>
        <w:rPr>
          <w:color w:val="58595B"/>
          <w:sz w:val="16"/>
          <w:szCs w:val="16"/>
          <w:lang w:val="en-US"/>
        </w:rPr>
      </w:pPr>
      <w:r w:rsidRPr="00D728C0">
        <w:rPr>
          <w:color w:val="58595B"/>
          <w:sz w:val="16"/>
          <w:szCs w:val="16"/>
          <w:lang w:val="en-US"/>
        </w:rPr>
        <w:t>European Commission Communication towards the Elimination of Female Genital Mutilation, 25 de noviembre de 2013</w:t>
      </w:r>
      <w:hyperlink r:id="rId13" w:history="1">
        <w:r w:rsidRPr="00D728C0">
          <w:rPr>
            <w:color w:val="58595B"/>
            <w:sz w:val="16"/>
            <w:szCs w:val="16"/>
            <w:u w:val="single"/>
            <w:lang w:val="en-US"/>
          </w:rPr>
          <w:t xml:space="preserve"> http://ec.europa.eu/justice/gender-equality/files/gender_based_violence/131125_fgm_communication_en.pdf</w:t>
        </w:r>
      </w:hyperlink>
    </w:p>
    <w:p w14:paraId="2E55598D" w14:textId="77777777" w:rsidR="00D66221" w:rsidRPr="00D728C0" w:rsidRDefault="00D66221">
      <w:pPr>
        <w:pStyle w:val="ListParagraph"/>
        <w:numPr>
          <w:ilvl w:val="0"/>
          <w:numId w:val="3"/>
        </w:numPr>
        <w:tabs>
          <w:tab w:val="left" w:pos="345"/>
        </w:tabs>
        <w:kinsoku w:val="0"/>
        <w:overflowPunct w:val="0"/>
        <w:spacing w:before="63" w:line="199" w:lineRule="auto"/>
        <w:ind w:right="1891"/>
        <w:rPr>
          <w:color w:val="58595B"/>
          <w:sz w:val="16"/>
          <w:szCs w:val="16"/>
          <w:lang w:val="en-US"/>
        </w:rPr>
      </w:pPr>
      <w:r w:rsidRPr="00D728C0">
        <w:rPr>
          <w:color w:val="58595B"/>
          <w:sz w:val="16"/>
          <w:szCs w:val="16"/>
          <w:lang w:val="en-US"/>
        </w:rPr>
        <w:t xml:space="preserve">European Parliament Resolution of 6 February 2014 on the Commission Communication entitled “Towards the Elimination   of Female Genital Mutilation” </w:t>
      </w:r>
      <w:hyperlink r:id="rId14" w:history="1">
        <w:r w:rsidRPr="00D728C0">
          <w:rPr>
            <w:color w:val="58595B"/>
            <w:sz w:val="16"/>
            <w:szCs w:val="16"/>
            <w:u w:val="single"/>
            <w:lang w:val="en-US"/>
          </w:rPr>
          <w:t>http://www.europarl.europa.eu/sides/getDoc.do?type=TA&amp;language=EN&amp;reference=P7-</w:t>
        </w:r>
      </w:hyperlink>
    </w:p>
    <w:p w14:paraId="1B594653" w14:textId="77777777" w:rsidR="00D66221" w:rsidRDefault="002F6241">
      <w:pPr>
        <w:pStyle w:val="BodyText"/>
        <w:kinsoku w:val="0"/>
        <w:overflowPunct w:val="0"/>
        <w:spacing w:line="200" w:lineRule="exact"/>
        <w:ind w:left="344"/>
        <w:rPr>
          <w:color w:val="58595B"/>
          <w:sz w:val="16"/>
          <w:szCs w:val="16"/>
        </w:rPr>
      </w:pPr>
      <w:hyperlink r:id="rId15" w:history="1">
        <w:r w:rsidR="00435287">
          <w:rPr>
            <w:color w:val="58595B"/>
            <w:sz w:val="16"/>
            <w:szCs w:val="16"/>
            <w:u w:val="single"/>
          </w:rPr>
          <w:t>TA-2014-0105</w:t>
        </w:r>
      </w:hyperlink>
    </w:p>
    <w:p w14:paraId="4AEB984C" w14:textId="77777777" w:rsidR="00D66221" w:rsidRPr="00D728C0" w:rsidRDefault="00D66221">
      <w:pPr>
        <w:pStyle w:val="ListParagraph"/>
        <w:numPr>
          <w:ilvl w:val="0"/>
          <w:numId w:val="3"/>
        </w:numPr>
        <w:tabs>
          <w:tab w:val="left" w:pos="345"/>
        </w:tabs>
        <w:kinsoku w:val="0"/>
        <w:overflowPunct w:val="0"/>
        <w:spacing w:before="54" w:line="199" w:lineRule="auto"/>
        <w:ind w:right="1655"/>
        <w:rPr>
          <w:color w:val="58595B"/>
          <w:sz w:val="16"/>
          <w:szCs w:val="16"/>
          <w:lang w:val="en-US"/>
        </w:rPr>
      </w:pPr>
      <w:r w:rsidRPr="00D728C0">
        <w:rPr>
          <w:color w:val="58595B"/>
          <w:sz w:val="16"/>
          <w:szCs w:val="16"/>
          <w:lang w:val="en-US"/>
        </w:rPr>
        <w:t>The Council of Europe Convention on preventing and combating violence against women and domestic violence, 12 de abril de 2011</w:t>
      </w:r>
      <w:r w:rsidRPr="00D728C0">
        <w:rPr>
          <w:color w:val="58595B"/>
          <w:sz w:val="16"/>
          <w:szCs w:val="16"/>
          <w:u w:val="single"/>
          <w:lang w:val="en-US"/>
        </w:rPr>
        <w:t xml:space="preserve"> </w:t>
      </w:r>
      <w:hyperlink r:id="rId16" w:history="1">
        <w:r w:rsidRPr="00D728C0">
          <w:rPr>
            <w:color w:val="58595B"/>
            <w:sz w:val="16"/>
            <w:szCs w:val="16"/>
            <w:u w:val="single"/>
            <w:lang w:val="en-US"/>
          </w:rPr>
          <w:t>https://rm.coe.int/CoERMPublicCommonSearchServices/DisplayDCTMContent?documentId=090000168046031c</w:t>
        </w:r>
      </w:hyperlink>
    </w:p>
    <w:p w14:paraId="4B3E73A6" w14:textId="77777777" w:rsidR="00D66221" w:rsidRPr="00D728C0" w:rsidRDefault="00D66221">
      <w:pPr>
        <w:pStyle w:val="ListParagraph"/>
        <w:numPr>
          <w:ilvl w:val="0"/>
          <w:numId w:val="3"/>
        </w:numPr>
        <w:tabs>
          <w:tab w:val="left" w:pos="345"/>
        </w:tabs>
        <w:kinsoku w:val="0"/>
        <w:overflowPunct w:val="0"/>
        <w:spacing w:before="54" w:line="199" w:lineRule="auto"/>
        <w:ind w:right="1655"/>
        <w:rPr>
          <w:color w:val="58595B"/>
          <w:sz w:val="16"/>
          <w:szCs w:val="16"/>
          <w:lang w:val="en-US"/>
        </w:rPr>
        <w:sectPr w:rsidR="00D66221" w:rsidRPr="00D728C0">
          <w:type w:val="continuous"/>
          <w:pgSz w:w="11910" w:h="16840"/>
          <w:pgMar w:top="840" w:right="0" w:bottom="280" w:left="1300" w:header="720" w:footer="720" w:gutter="0"/>
          <w:cols w:space="720" w:equalWidth="0">
            <w:col w:w="10610"/>
          </w:cols>
          <w:noEndnote/>
        </w:sectPr>
      </w:pPr>
    </w:p>
    <w:p w14:paraId="35E7918E" w14:textId="77777777" w:rsidR="00D66221" w:rsidRPr="00D728C0" w:rsidRDefault="00D66221">
      <w:pPr>
        <w:pStyle w:val="BodyText"/>
        <w:kinsoku w:val="0"/>
        <w:overflowPunct w:val="0"/>
        <w:rPr>
          <w:lang w:val="en-US"/>
        </w:rPr>
      </w:pPr>
    </w:p>
    <w:p w14:paraId="0FC7BDCB" w14:textId="77777777" w:rsidR="00D66221" w:rsidRPr="00D728C0" w:rsidRDefault="00D66221">
      <w:pPr>
        <w:pStyle w:val="BodyText"/>
        <w:kinsoku w:val="0"/>
        <w:overflowPunct w:val="0"/>
        <w:spacing w:before="7"/>
        <w:rPr>
          <w:sz w:val="18"/>
          <w:szCs w:val="18"/>
          <w:lang w:val="en-US"/>
        </w:rPr>
      </w:pPr>
    </w:p>
    <w:p w14:paraId="7CC8D9FA" w14:textId="77777777" w:rsidR="00D66221" w:rsidRPr="00D728C0" w:rsidRDefault="00D66221">
      <w:pPr>
        <w:pStyle w:val="BodyText"/>
        <w:kinsoku w:val="0"/>
        <w:overflowPunct w:val="0"/>
        <w:spacing w:before="7"/>
        <w:rPr>
          <w:sz w:val="18"/>
          <w:szCs w:val="18"/>
          <w:lang w:val="en-US"/>
        </w:rPr>
        <w:sectPr w:rsidR="00D66221" w:rsidRPr="00D728C0">
          <w:pgSz w:w="11910" w:h="16840"/>
          <w:pgMar w:top="1260" w:right="0" w:bottom="280" w:left="1300" w:header="720" w:footer="720" w:gutter="0"/>
          <w:cols w:space="720"/>
          <w:noEndnote/>
        </w:sectPr>
      </w:pPr>
    </w:p>
    <w:p w14:paraId="2202DECB" w14:textId="41A55106" w:rsidR="00D66221" w:rsidRDefault="00D66221" w:rsidP="00ED0018">
      <w:pPr>
        <w:pStyle w:val="BodyText"/>
        <w:kinsoku w:val="0"/>
        <w:overflowPunct w:val="0"/>
        <w:spacing w:before="92" w:line="230" w:lineRule="auto"/>
        <w:ind w:left="117" w:right="38"/>
        <w:jc w:val="both"/>
      </w:pPr>
      <w:r>
        <w:lastRenderedPageBreak/>
        <w:t xml:space="preserve">la acción coordinada entre los titulares de derechos, las </w:t>
      </w:r>
      <w:r w:rsidR="002A320B">
        <w:t>supervivientes</w:t>
      </w:r>
      <w:r>
        <w:t xml:space="preserve">, las comunidades, las organizaciones miembros, así como los encargados de formular políticas y las autoridades a escala nacional y europeo. Tiene como objetivo el empoderamiento de las mujeres y las niñas, así como el </w:t>
      </w:r>
      <w:r>
        <w:rPr>
          <w:rFonts w:ascii="GloriolaStd-Medium" w:hAnsi="GloriolaStd-Medium"/>
        </w:rPr>
        <w:t xml:space="preserve">reconocimiento y el cumplimiento de los derechos humanos y </w:t>
      </w:r>
      <w:r>
        <w:t xml:space="preserve">la igualdad de género, tanto en la Unión Europea como en todo el mundo. El uso que hace la Red de la terminología refleja también esta coordinación con sus organizaciones miembros que trabajan con las </w:t>
      </w:r>
      <w:r w:rsidR="002A320B">
        <w:t>supervivientes</w:t>
      </w:r>
      <w:r>
        <w:t>.</w:t>
      </w:r>
    </w:p>
    <w:p w14:paraId="6329CCA3" w14:textId="77777777" w:rsidR="00D66221" w:rsidRDefault="00D66221">
      <w:pPr>
        <w:pStyle w:val="BodyText"/>
        <w:kinsoku w:val="0"/>
        <w:overflowPunct w:val="0"/>
        <w:spacing w:before="1"/>
        <w:rPr>
          <w:sz w:val="18"/>
          <w:szCs w:val="18"/>
        </w:rPr>
      </w:pPr>
    </w:p>
    <w:p w14:paraId="559C8093" w14:textId="633ECD55" w:rsidR="00D66221" w:rsidRDefault="00D66221">
      <w:pPr>
        <w:pStyle w:val="BodyText"/>
        <w:kinsoku w:val="0"/>
        <w:overflowPunct w:val="0"/>
        <w:spacing w:before="1" w:line="230" w:lineRule="auto"/>
        <w:ind w:left="117" w:right="38"/>
        <w:jc w:val="both"/>
      </w:pPr>
      <w:r>
        <w:t>Con la palabra «genital» de la expresión se pretende destacar tanto la ubicación anatómica del procedimiento como las consecuencias físicas, psicológicas, obstétricas y sexuales</w:t>
      </w:r>
      <w:r>
        <w:rPr>
          <w:sz w:val="11"/>
          <w:szCs w:val="11"/>
        </w:rPr>
        <w:t xml:space="preserve">12 </w:t>
      </w:r>
      <w:r>
        <w:t>relacionadas con el daño que sufre la zona genital. La denominación más controvertida de la expresión es el término «mutilación». «Mutilación» hace referencia al acto de infligir o que se le inflija a la persona una herida o lesión violenta o deformante que cause un daño permanente. En el contexto de la MGF, no necesariamente implica una intención malévola, sino que se refiere al daño, tanto físico como psicológico, que sufre una mujer o una niña, así como a sus consecuencias a corto y largo plazos en las personas y las comunidades.</w:t>
      </w:r>
    </w:p>
    <w:p w14:paraId="6FFD6ECD" w14:textId="77777777" w:rsidR="00D66221" w:rsidRDefault="00D66221">
      <w:pPr>
        <w:pStyle w:val="BodyText"/>
        <w:kinsoku w:val="0"/>
        <w:overflowPunct w:val="0"/>
        <w:spacing w:before="12"/>
        <w:rPr>
          <w:sz w:val="17"/>
          <w:szCs w:val="17"/>
        </w:rPr>
      </w:pPr>
    </w:p>
    <w:p w14:paraId="5D2A2662" w14:textId="00932594" w:rsidR="00D66221" w:rsidRDefault="00D66221" w:rsidP="00ED0018">
      <w:pPr>
        <w:pStyle w:val="BodyText"/>
        <w:kinsoku w:val="0"/>
        <w:overflowPunct w:val="0"/>
        <w:spacing w:before="1" w:line="230" w:lineRule="auto"/>
        <w:ind w:left="117" w:right="1415"/>
        <w:jc w:val="both"/>
      </w:pPr>
      <w:r>
        <w:t xml:space="preserve">Fuera de las comunidades afectadas, algunas autoridades, periodistas, profesionales de la salud u otros profesionales podrían sentirse incómodos con el uso de la palabra «mutilación», por ejemplo al redactar un informe o un artículo. Podrían tener el temor de que el término parezca condenatorio, estigmatizador o incluso racista. A algunas de las personas y comunidades afectadas les podría también disgustar la expresión y considerarla estigmatizadora o despectiva. El término transmite efectivamente una imagen fuerte en la imaginación colectiva, debido a su connotación negativa. Debe entenderse que se subraya y se afirma que esta práctica constituye una forma de </w:t>
      </w:r>
      <w:r>
        <w:rPr>
          <w:rFonts w:ascii="GloriolaStd-Medium" w:hAnsi="GloriolaStd-Medium"/>
        </w:rPr>
        <w:t xml:space="preserve">abuso infantil </w:t>
      </w:r>
      <w:r>
        <w:t xml:space="preserve">y una manifestación de </w:t>
      </w:r>
      <w:r>
        <w:rPr>
          <w:rFonts w:ascii="GloriolaStd-Medium" w:hAnsi="GloriolaStd-Medium"/>
        </w:rPr>
        <w:t xml:space="preserve">violencia contra las </w:t>
      </w:r>
      <w:r>
        <w:rPr>
          <w:rFonts w:ascii="GloriolaStd-Medium" w:hAnsi="GloriolaStd-Medium"/>
        </w:rPr>
        <w:lastRenderedPageBreak/>
        <w:t>mujeres y las niñas y de desigualdad de género, así como</w:t>
      </w:r>
      <w:r>
        <w:t xml:space="preserve"> una </w:t>
      </w:r>
      <w:r>
        <w:rPr>
          <w:rFonts w:ascii="GloriolaStd-Medium" w:hAnsi="GloriolaStd-Medium"/>
        </w:rPr>
        <w:t>violación de los derechos humanos</w:t>
      </w:r>
      <w:r>
        <w:t xml:space="preserve">. En este contexto, el término MGF es tanto un </w:t>
      </w:r>
      <w:r>
        <w:rPr>
          <w:rFonts w:ascii="GloriolaStd-Medium" w:hAnsi="GloriolaStd-Medium"/>
        </w:rPr>
        <w:t xml:space="preserve">instrumento de sensibilización como </w:t>
      </w:r>
      <w:r>
        <w:t xml:space="preserve">una </w:t>
      </w:r>
      <w:r>
        <w:rPr>
          <w:rFonts w:ascii="GloriolaStd-Medium" w:hAnsi="GloriolaStd-Medium"/>
        </w:rPr>
        <w:t xml:space="preserve">herramienta de empoderamiento y autogestión </w:t>
      </w:r>
      <w:r>
        <w:t xml:space="preserve">para que las </w:t>
      </w:r>
      <w:r w:rsidR="002A320B">
        <w:t>supervivientes</w:t>
      </w:r>
      <w:r>
        <w:t xml:space="preserve"> y las comunidades afectadas reconozcan la amplitud de la violencia que sufren y trabajen en aras de su erradicación. El daño sufrido por las personas y las comunidades no se expresa con la misma fuerza cuando se emplean los términos de </w:t>
      </w:r>
      <w:r>
        <w:rPr>
          <w:rFonts w:ascii="GloriolaStd-LightItalic" w:hAnsi="GloriolaStd-LightItalic"/>
          <w:i/>
          <w:iCs/>
        </w:rPr>
        <w:t xml:space="preserve">ablación </w:t>
      </w:r>
      <w:r>
        <w:t xml:space="preserve">o </w:t>
      </w:r>
      <w:r>
        <w:rPr>
          <w:rFonts w:ascii="GloriolaStd-LightItalic" w:hAnsi="GloriolaStd-LightItalic"/>
          <w:i/>
          <w:iCs/>
        </w:rPr>
        <w:t xml:space="preserve">circuncisión. </w:t>
      </w:r>
      <w:r>
        <w:t xml:space="preserve">Como tal, muchas de las </w:t>
      </w:r>
      <w:r w:rsidR="002A320B">
        <w:t>supervivientes</w:t>
      </w:r>
      <w:r>
        <w:t xml:space="preserve"> y miembros de las comunidades afectadas</w:t>
      </w:r>
      <w:r>
        <w:rPr>
          <w:sz w:val="11"/>
          <w:szCs w:val="11"/>
        </w:rPr>
        <w:t>13</w:t>
      </w:r>
      <w:r>
        <w:t>, incluidos los hombres</w:t>
      </w:r>
      <w:r>
        <w:rPr>
          <w:sz w:val="11"/>
          <w:szCs w:val="11"/>
        </w:rPr>
        <w:t>14</w:t>
      </w:r>
      <w:r>
        <w:t>, adoptan esta terminología.</w:t>
      </w:r>
    </w:p>
    <w:p w14:paraId="350F53FF" w14:textId="77777777" w:rsidR="00D66221" w:rsidRDefault="00D66221">
      <w:pPr>
        <w:pStyle w:val="BodyText"/>
        <w:kinsoku w:val="0"/>
        <w:overflowPunct w:val="0"/>
        <w:spacing w:before="1"/>
        <w:rPr>
          <w:sz w:val="18"/>
          <w:szCs w:val="18"/>
        </w:rPr>
      </w:pPr>
    </w:p>
    <w:p w14:paraId="281621AC" w14:textId="5476EC67" w:rsidR="00D66221" w:rsidRDefault="00D66221">
      <w:pPr>
        <w:pStyle w:val="BodyText"/>
        <w:kinsoku w:val="0"/>
        <w:overflowPunct w:val="0"/>
        <w:spacing w:before="1" w:line="230" w:lineRule="auto"/>
        <w:ind w:left="117" w:right="1415"/>
        <w:jc w:val="both"/>
      </w:pPr>
      <w:r>
        <w:t xml:space="preserve">Sin embargo, la Red considera que se necesita un </w:t>
      </w:r>
      <w:r>
        <w:rPr>
          <w:rFonts w:ascii="GloriolaStd-Medium" w:hAnsi="GloriolaStd-Medium"/>
        </w:rPr>
        <w:t xml:space="preserve">uso contextual </w:t>
      </w:r>
      <w:r>
        <w:t xml:space="preserve">del lenguaje en la labor contra la MGF. El movimiento contra la MGF no es un proceso unilateral. El cambio proviene de las comunidades afectadas, pero toda la sociedad está involucrada y debe participar en la erradicación de la práctica, desde los gobiernos, los funcionarios públicos y los medios de comunicación hasta las comunidades, las </w:t>
      </w:r>
      <w:r w:rsidR="002A320B">
        <w:t>supervivientes</w:t>
      </w:r>
      <w:r>
        <w:t xml:space="preserve">, las organizaciones y el público en general. Por consiguiente, la terminología también depende de la forma en que interactúen los distintos actores. Debe transmitir la condena de la práctica </w:t>
      </w:r>
      <w:r>
        <w:rPr>
          <w:rFonts w:ascii="GloriolaStd-LightItalic" w:hAnsi="GloriolaStd-LightItalic"/>
          <w:i/>
          <w:iCs/>
        </w:rPr>
        <w:t xml:space="preserve">e </w:t>
      </w:r>
      <w:r>
        <w:t xml:space="preserve">incluir a las </w:t>
      </w:r>
      <w:r w:rsidR="002A320B">
        <w:t>supervivientes</w:t>
      </w:r>
      <w:r>
        <w:t xml:space="preserve"> y a las comunidades afectadas como actores fundamentales del cambio.</w:t>
      </w:r>
    </w:p>
    <w:p w14:paraId="74169AA0" w14:textId="77777777" w:rsidR="00D66221" w:rsidRDefault="00D66221">
      <w:pPr>
        <w:pStyle w:val="BodyText"/>
        <w:kinsoku w:val="0"/>
        <w:overflowPunct w:val="0"/>
        <w:spacing w:before="14"/>
        <w:rPr>
          <w:sz w:val="17"/>
          <w:szCs w:val="17"/>
        </w:rPr>
      </w:pPr>
    </w:p>
    <w:p w14:paraId="2236CF7B" w14:textId="7158164D" w:rsidR="00D66221" w:rsidRDefault="00D66221">
      <w:pPr>
        <w:pStyle w:val="BodyText"/>
        <w:kinsoku w:val="0"/>
        <w:overflowPunct w:val="0"/>
        <w:spacing w:line="230" w:lineRule="auto"/>
        <w:ind w:left="117" w:right="1414"/>
        <w:jc w:val="both"/>
      </w:pPr>
      <w:r>
        <w:t xml:space="preserve">Así, es posible que el término oficial «MGF» no lo empleen </w:t>
      </w:r>
      <w:r>
        <w:rPr>
          <w:rFonts w:ascii="GloriolaStd-Medium" w:hAnsi="GloriolaStd-Medium"/>
        </w:rPr>
        <w:t xml:space="preserve">la sociedad civil y los grupos de sensibilización </w:t>
      </w:r>
      <w:r>
        <w:t xml:space="preserve">y otros </w:t>
      </w:r>
      <w:r>
        <w:rPr>
          <w:rFonts w:ascii="GloriolaStd-Medium" w:hAnsi="GloriolaStd-Medium"/>
        </w:rPr>
        <w:t xml:space="preserve">agentes del cambio que </w:t>
      </w:r>
      <w:r>
        <w:t xml:space="preserve">trabajan directamente con las comunidades afectadas con la finalidad de erradicar la práctica. Lo más probable es que estas organizaciones adopten el </w:t>
      </w:r>
      <w:r>
        <w:rPr>
          <w:rFonts w:ascii="GloriolaStd-Medium" w:hAnsi="GloriolaStd-Medium"/>
        </w:rPr>
        <w:t xml:space="preserve">término que se utilice en la comunidad </w:t>
      </w:r>
      <w:r>
        <w:t xml:space="preserve">para evitar alienar a los miembros reacios a poner fin a una práctica tradicional y que podrían considerar el término MGF como insensible y condenatorio desde una perspectiva cultural. Del mismo modo, un periodista, un investigador, un ginecólogo, un funcionario responsable de cuestiones relacionadas con el asilo, un trabajador social o cualquier otro profesional que esté en contacto directo con una sobreviviente o con las comunidades afectadas debe preguntar qué término </w:t>
      </w:r>
      <w:r>
        <w:rPr>
          <w:rFonts w:ascii="GloriolaStd-Medium" w:hAnsi="GloriolaStd-Medium"/>
        </w:rPr>
        <w:t xml:space="preserve">prefiere la persona o la comunidad, </w:t>
      </w:r>
      <w:r>
        <w:t xml:space="preserve">con el fin de evitar la enajenación y mostrarse </w:t>
      </w:r>
      <w:r>
        <w:rPr>
          <w:rFonts w:ascii="GloriolaStd-Medium" w:hAnsi="GloriolaStd-Medium"/>
        </w:rPr>
        <w:t xml:space="preserve">sensible hacia </w:t>
      </w:r>
      <w:r>
        <w:t xml:space="preserve">las </w:t>
      </w:r>
      <w:r w:rsidR="002A320B">
        <w:t>supervivientes</w:t>
      </w:r>
      <w:r>
        <w:t xml:space="preserve"> de la violencia.</w:t>
      </w:r>
    </w:p>
    <w:p w14:paraId="2BC27621" w14:textId="77777777" w:rsidR="00D66221" w:rsidRDefault="00D66221">
      <w:pPr>
        <w:pStyle w:val="BodyText"/>
        <w:kinsoku w:val="0"/>
        <w:overflowPunct w:val="0"/>
        <w:spacing w:line="230" w:lineRule="auto"/>
        <w:ind w:left="117" w:right="1414"/>
        <w:jc w:val="both"/>
        <w:sectPr w:rsidR="00D66221">
          <w:type w:val="continuous"/>
          <w:pgSz w:w="11910" w:h="16840"/>
          <w:pgMar w:top="840" w:right="0" w:bottom="280" w:left="1300" w:header="720" w:footer="720" w:gutter="0"/>
          <w:cols w:num="2" w:space="720" w:equalWidth="0">
            <w:col w:w="4524" w:space="181"/>
            <w:col w:w="5905"/>
          </w:cols>
          <w:noEndnote/>
        </w:sectPr>
      </w:pPr>
    </w:p>
    <w:p w14:paraId="5E3A9EA9" w14:textId="77777777" w:rsidR="00D66221" w:rsidRDefault="00D66221">
      <w:pPr>
        <w:pStyle w:val="BodyText"/>
        <w:kinsoku w:val="0"/>
        <w:overflowPunct w:val="0"/>
      </w:pPr>
    </w:p>
    <w:p w14:paraId="09E5AEF6" w14:textId="77777777" w:rsidR="00D66221" w:rsidRDefault="00D66221">
      <w:pPr>
        <w:pStyle w:val="BodyText"/>
        <w:kinsoku w:val="0"/>
        <w:overflowPunct w:val="0"/>
        <w:spacing w:before="1"/>
        <w:rPr>
          <w:sz w:val="15"/>
          <w:szCs w:val="15"/>
        </w:rPr>
      </w:pPr>
    </w:p>
    <w:p w14:paraId="4B75C69E" w14:textId="77777777" w:rsidR="00D66221" w:rsidRDefault="00D66221">
      <w:pPr>
        <w:pStyle w:val="ListParagraph"/>
        <w:numPr>
          <w:ilvl w:val="0"/>
          <w:numId w:val="3"/>
        </w:numPr>
        <w:tabs>
          <w:tab w:val="left" w:pos="345"/>
        </w:tabs>
        <w:kinsoku w:val="0"/>
        <w:overflowPunct w:val="0"/>
        <w:spacing w:before="111" w:line="201" w:lineRule="auto"/>
        <w:ind w:right="1511"/>
        <w:rPr>
          <w:rFonts w:ascii="GloriolaStd-LightItalic" w:hAnsi="GloriolaStd-LightItalic" w:cs="GloriolaStd-LightItalic"/>
          <w:i/>
          <w:iCs/>
          <w:color w:val="58595B"/>
          <w:sz w:val="16"/>
          <w:szCs w:val="16"/>
        </w:rPr>
      </w:pPr>
      <w:r>
        <w:rPr>
          <w:color w:val="58595B"/>
          <w:sz w:val="16"/>
          <w:szCs w:val="16"/>
        </w:rPr>
        <w:t xml:space="preserve">Para obtener más información sobre las consecuencias perjudiciales de la MGF en las mujeres y las niñas, consulte las fuentes pertinentes, como la OMS </w:t>
      </w:r>
      <w:hyperlink r:id="rId17" w:history="1">
        <w:r>
          <w:rPr>
            <w:color w:val="58595B"/>
            <w:sz w:val="16"/>
            <w:szCs w:val="16"/>
            <w:u w:val="single"/>
          </w:rPr>
          <w:t xml:space="preserve"> http://www.who.int/reproductivehealth/topics/fgm/health_consequences_fgm/en/</w:t>
        </w:r>
      </w:hyperlink>
      <w:r>
        <w:rPr>
          <w:color w:val="58595B"/>
          <w:sz w:val="16"/>
          <w:szCs w:val="16"/>
        </w:rPr>
        <w:t xml:space="preserve">o artículos científicos (p. Ej., REISEL , D. &amp; CREIGHTON, S.M., Maturitas 80 (2015) 48-51 </w:t>
      </w:r>
      <w:r>
        <w:rPr>
          <w:rFonts w:ascii="GloriolaStd-LightItalic" w:hAnsi="GloriolaStd-LightItalic"/>
          <w:i/>
          <w:iCs/>
          <w:color w:val="58595B"/>
          <w:sz w:val="16"/>
          <w:szCs w:val="16"/>
        </w:rPr>
        <w:t>Long term health consequences of female genital mutilation,</w:t>
      </w:r>
    </w:p>
    <w:p w14:paraId="00517E88" w14:textId="77777777" w:rsidR="00D66221" w:rsidRDefault="002F6241">
      <w:pPr>
        <w:pStyle w:val="BodyText"/>
        <w:kinsoku w:val="0"/>
        <w:overflowPunct w:val="0"/>
        <w:spacing w:line="198" w:lineRule="exact"/>
        <w:ind w:left="344"/>
        <w:rPr>
          <w:color w:val="58595B"/>
          <w:sz w:val="16"/>
          <w:szCs w:val="16"/>
        </w:rPr>
      </w:pPr>
      <w:hyperlink r:id="rId18" w:history="1">
        <w:r w:rsidR="00435287">
          <w:rPr>
            <w:color w:val="58595B"/>
            <w:sz w:val="16"/>
            <w:szCs w:val="16"/>
            <w:u w:val="single"/>
          </w:rPr>
          <w:t>http://www.maturitas.org/article/S0378-5122(14)00326-0/pdf</w:t>
        </w:r>
      </w:hyperlink>
      <w:r w:rsidR="00435287">
        <w:rPr>
          <w:color w:val="58595B"/>
          <w:sz w:val="16"/>
          <w:szCs w:val="16"/>
        </w:rPr>
        <w:t>.) (Consultado el 8 de diciembre de 2016)</w:t>
      </w:r>
    </w:p>
    <w:p w14:paraId="516FE6CB" w14:textId="77777777" w:rsidR="00D66221" w:rsidRDefault="00D66221">
      <w:pPr>
        <w:pStyle w:val="ListParagraph"/>
        <w:numPr>
          <w:ilvl w:val="0"/>
          <w:numId w:val="3"/>
        </w:numPr>
        <w:tabs>
          <w:tab w:val="left" w:pos="345"/>
        </w:tabs>
        <w:kinsoku w:val="0"/>
        <w:overflowPunct w:val="0"/>
        <w:spacing w:before="54" w:line="199" w:lineRule="auto"/>
        <w:ind w:right="2120"/>
        <w:rPr>
          <w:color w:val="58595B"/>
          <w:sz w:val="16"/>
          <w:szCs w:val="16"/>
        </w:rPr>
      </w:pPr>
      <w:r>
        <w:rPr>
          <w:color w:val="58595B"/>
          <w:sz w:val="16"/>
          <w:szCs w:val="16"/>
        </w:rPr>
        <w:t xml:space="preserve">El proyecto Change Plus para promover el cambio de comportamiento hacia el abandono de la práctica de la mutilación genital femenina en comunidades de la UE. </w:t>
      </w:r>
      <w:hyperlink r:id="rId19" w:history="1">
        <w:r>
          <w:rPr>
            <w:color w:val="58595B"/>
            <w:sz w:val="16"/>
            <w:szCs w:val="16"/>
            <w:u w:val="single"/>
          </w:rPr>
          <w:t>http://www.change-agent.eu/</w:t>
        </w:r>
      </w:hyperlink>
      <w:r>
        <w:rPr>
          <w:color w:val="58595B"/>
          <w:sz w:val="16"/>
          <w:szCs w:val="16"/>
        </w:rPr>
        <w:t xml:space="preserve"> (Consultado el 8 de diciembre de 2016)</w:t>
      </w:r>
    </w:p>
    <w:p w14:paraId="4CF5ED36" w14:textId="40768FEB" w:rsidR="00D66221" w:rsidRDefault="00D66221">
      <w:pPr>
        <w:pStyle w:val="ListParagraph"/>
        <w:numPr>
          <w:ilvl w:val="0"/>
          <w:numId w:val="3"/>
        </w:numPr>
        <w:tabs>
          <w:tab w:val="left" w:pos="345"/>
        </w:tabs>
        <w:kinsoku w:val="0"/>
        <w:overflowPunct w:val="0"/>
        <w:spacing w:before="30"/>
        <w:rPr>
          <w:color w:val="58595B"/>
          <w:sz w:val="16"/>
          <w:szCs w:val="16"/>
        </w:rPr>
      </w:pPr>
      <w:r>
        <w:rPr>
          <w:color w:val="58595B"/>
          <w:sz w:val="16"/>
          <w:szCs w:val="16"/>
        </w:rPr>
        <w:t xml:space="preserve">Men Speak Out against female genital mutilation </w:t>
      </w:r>
      <w:hyperlink r:id="rId20" w:history="1">
        <w:r>
          <w:rPr>
            <w:color w:val="58595B"/>
            <w:sz w:val="16"/>
            <w:szCs w:val="16"/>
            <w:u w:val="single"/>
          </w:rPr>
          <w:t xml:space="preserve"> http://menspeakout.eu/</w:t>
        </w:r>
      </w:hyperlink>
      <w:r w:rsidR="00D728C0" w:rsidRPr="00D728C0">
        <w:rPr>
          <w:color w:val="58595B"/>
          <w:sz w:val="16"/>
          <w:szCs w:val="16"/>
        </w:rPr>
        <w:t xml:space="preserve"> </w:t>
      </w:r>
      <w:r>
        <w:rPr>
          <w:color w:val="58595B"/>
          <w:sz w:val="16"/>
          <w:szCs w:val="16"/>
        </w:rPr>
        <w:t>(Consultado el 8 de diciembre de 2016)</w:t>
      </w:r>
    </w:p>
    <w:p w14:paraId="119A1553" w14:textId="77777777" w:rsidR="00D66221" w:rsidRDefault="00D66221">
      <w:pPr>
        <w:pStyle w:val="ListParagraph"/>
        <w:numPr>
          <w:ilvl w:val="0"/>
          <w:numId w:val="3"/>
        </w:numPr>
        <w:tabs>
          <w:tab w:val="left" w:pos="345"/>
        </w:tabs>
        <w:kinsoku w:val="0"/>
        <w:overflowPunct w:val="0"/>
        <w:spacing w:before="30"/>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5F30C96C" w14:textId="77777777" w:rsidR="00D66221" w:rsidRDefault="00D66221">
      <w:pPr>
        <w:pStyle w:val="BodyText"/>
        <w:kinsoku w:val="0"/>
        <w:overflowPunct w:val="0"/>
        <w:spacing w:before="8"/>
        <w:rPr>
          <w:sz w:val="16"/>
          <w:szCs w:val="16"/>
        </w:rPr>
      </w:pPr>
    </w:p>
    <w:p w14:paraId="6DAC1DE1" w14:textId="77777777" w:rsidR="00D66221" w:rsidRDefault="00D66221">
      <w:pPr>
        <w:pStyle w:val="BodyText"/>
        <w:kinsoku w:val="0"/>
        <w:overflowPunct w:val="0"/>
        <w:spacing w:before="8"/>
        <w:rPr>
          <w:sz w:val="16"/>
          <w:szCs w:val="16"/>
        </w:rPr>
        <w:sectPr w:rsidR="00D66221">
          <w:pgSz w:w="11910" w:h="16840"/>
          <w:pgMar w:top="1580" w:right="0" w:bottom="280" w:left="1300" w:header="720" w:footer="720" w:gutter="0"/>
          <w:cols w:space="720"/>
          <w:noEndnote/>
        </w:sectPr>
      </w:pPr>
    </w:p>
    <w:p w14:paraId="7F034548" w14:textId="77777777" w:rsidR="00D66221" w:rsidRDefault="00D66221">
      <w:pPr>
        <w:pStyle w:val="BodyText"/>
        <w:kinsoku w:val="0"/>
        <w:overflowPunct w:val="0"/>
        <w:spacing w:before="84" w:line="230" w:lineRule="auto"/>
        <w:ind w:left="117" w:right="38"/>
        <w:jc w:val="both"/>
      </w:pPr>
      <w:r>
        <w:lastRenderedPageBreak/>
        <w:t>Sin embargo, debido al reconocimiento de que la MGF constituye una violación de los derechos humanos, también hay contextos en los que debe subrayarse el término oficial para que refleje adecuadamente esta violencia contra las mujeres y las niñas; hay que sensibilizar y subrayar</w:t>
      </w:r>
      <w:r>
        <w:rPr>
          <w:rFonts w:ascii="GloriolaStd-Medium" w:hAnsi="GloriolaStd-Medium"/>
        </w:rPr>
        <w:t xml:space="preserve"> </w:t>
      </w:r>
      <w:r>
        <w:t>los efectos de la práctica en las mujeres, las niñas y las comunidades. Esto es especialmente cierto en los siguientes casos, entre otros:</w:t>
      </w:r>
    </w:p>
    <w:p w14:paraId="3B85E7CC" w14:textId="77777777" w:rsidR="00D66221" w:rsidRDefault="00D66221">
      <w:pPr>
        <w:pStyle w:val="BodyText"/>
        <w:kinsoku w:val="0"/>
        <w:overflowPunct w:val="0"/>
        <w:spacing w:before="13"/>
        <w:rPr>
          <w:sz w:val="17"/>
          <w:szCs w:val="17"/>
        </w:rPr>
      </w:pPr>
    </w:p>
    <w:p w14:paraId="1B1A54B4" w14:textId="77777777" w:rsidR="00D66221" w:rsidRDefault="00D66221">
      <w:pPr>
        <w:pStyle w:val="BodyText"/>
        <w:kinsoku w:val="0"/>
        <w:overflowPunct w:val="0"/>
        <w:ind w:left="117"/>
        <w:rPr>
          <w:color w:val="000000"/>
          <w:spacing w:val="3"/>
          <w:w w:val="106"/>
          <w:position w:val="7"/>
          <w:sz w:val="11"/>
          <w:szCs w:val="11"/>
        </w:rPr>
      </w:pPr>
      <w:r>
        <w:rPr>
          <w:rFonts w:ascii="FFDingbats" w:hAnsi="FFDingbats"/>
          <w:color w:val="9A258F"/>
        </w:rPr>
        <w:t>33</w:t>
      </w:r>
      <w:r>
        <w:rPr>
          <w:color w:val="000000"/>
        </w:rPr>
        <w:t>Artículos o informes periodísticos y de otros medios de comunicación</w:t>
      </w:r>
      <w:r>
        <w:rPr>
          <w:color w:val="000000"/>
          <w:sz w:val="11"/>
          <w:szCs w:val="11"/>
        </w:rPr>
        <w:t>15</w:t>
      </w:r>
    </w:p>
    <w:p w14:paraId="5C303DD4" w14:textId="680523E2" w:rsidR="00D66221" w:rsidRDefault="00D66221">
      <w:pPr>
        <w:pStyle w:val="BodyText"/>
        <w:kinsoku w:val="0"/>
        <w:overflowPunct w:val="0"/>
        <w:spacing w:before="132" w:line="230" w:lineRule="auto"/>
        <w:ind w:left="344" w:hanging="227"/>
        <w:rPr>
          <w:color w:val="000000"/>
        </w:rPr>
      </w:pPr>
      <w:r>
        <w:rPr>
          <w:rFonts w:ascii="FFDingbats" w:hAnsi="FFDingbats"/>
          <w:color w:val="9A258F"/>
        </w:rPr>
        <w:t xml:space="preserve">33 </w:t>
      </w:r>
      <w:r>
        <w:rPr>
          <w:color w:val="000000"/>
        </w:rPr>
        <w:t>Informes sobre los países de origen en el contexto del asilo</w:t>
      </w:r>
    </w:p>
    <w:p w14:paraId="41C0CFF2" w14:textId="77777777" w:rsidR="00D66221" w:rsidRDefault="00D66221">
      <w:pPr>
        <w:pStyle w:val="BodyText"/>
        <w:kinsoku w:val="0"/>
        <w:overflowPunct w:val="0"/>
        <w:spacing w:before="134" w:line="230" w:lineRule="auto"/>
        <w:ind w:left="344" w:hanging="227"/>
        <w:rPr>
          <w:color w:val="000000"/>
        </w:rPr>
      </w:pPr>
      <w:r>
        <w:rPr>
          <w:rFonts w:ascii="FFDingbats" w:hAnsi="FFDingbats"/>
          <w:color w:val="9A258F"/>
        </w:rPr>
        <w:t>33</w:t>
      </w:r>
      <w:r>
        <w:rPr>
          <w:color w:val="000000"/>
        </w:rPr>
        <w:t>Legislación y sentencias de tribunales nacionales e internacionales</w:t>
      </w:r>
    </w:p>
    <w:p w14:paraId="1CF66044" w14:textId="56D2271D" w:rsidR="00D66221" w:rsidRDefault="00D66221">
      <w:pPr>
        <w:pStyle w:val="BodyText"/>
        <w:kinsoku w:val="0"/>
        <w:overflowPunct w:val="0"/>
        <w:spacing w:before="133" w:line="230" w:lineRule="auto"/>
        <w:ind w:left="344" w:hanging="227"/>
        <w:rPr>
          <w:color w:val="000000"/>
        </w:rPr>
      </w:pPr>
      <w:r>
        <w:rPr>
          <w:rFonts w:ascii="FFDingbats" w:hAnsi="FFDingbats"/>
          <w:color w:val="9A258F"/>
        </w:rPr>
        <w:t>33</w:t>
      </w:r>
      <w:r>
        <w:rPr>
          <w:color w:val="000000"/>
        </w:rPr>
        <w:t xml:space="preserve">Declaraciones e informes de políticos y funcionarios gubernamentales </w:t>
      </w:r>
    </w:p>
    <w:p w14:paraId="32D7D304" w14:textId="77777777" w:rsidR="00D66221" w:rsidRDefault="00D66221">
      <w:pPr>
        <w:pStyle w:val="BodyText"/>
        <w:kinsoku w:val="0"/>
        <w:overflowPunct w:val="0"/>
        <w:spacing w:before="134" w:line="230" w:lineRule="auto"/>
        <w:ind w:left="344" w:hanging="227"/>
        <w:rPr>
          <w:color w:val="000000"/>
        </w:rPr>
      </w:pPr>
      <w:r>
        <w:rPr>
          <w:rFonts w:ascii="FFDingbats" w:hAnsi="FFDingbats"/>
          <w:color w:val="9A258F"/>
        </w:rPr>
        <w:t>33</w:t>
      </w:r>
      <w:r>
        <w:rPr>
          <w:color w:val="000000"/>
        </w:rPr>
        <w:t xml:space="preserve">Informes médicos, psicológicos, jurídicos y de las instituciones policiales </w:t>
      </w:r>
    </w:p>
    <w:p w14:paraId="1CC710C7" w14:textId="77777777" w:rsidR="00D66221" w:rsidRDefault="00D66221">
      <w:pPr>
        <w:pStyle w:val="BodyText"/>
        <w:kinsoku w:val="0"/>
        <w:overflowPunct w:val="0"/>
        <w:spacing w:before="134" w:line="230" w:lineRule="auto"/>
        <w:ind w:left="344" w:right="38" w:hanging="227"/>
        <w:jc w:val="both"/>
        <w:rPr>
          <w:color w:val="000000"/>
        </w:rPr>
      </w:pPr>
      <w:r>
        <w:rPr>
          <w:rFonts w:ascii="FFDingbats" w:hAnsi="FFDingbats"/>
          <w:color w:val="9A258F"/>
        </w:rPr>
        <w:t>33</w:t>
      </w:r>
      <w:r>
        <w:rPr>
          <w:color w:val="000000"/>
        </w:rPr>
        <w:t xml:space="preserve">Directrices oficiales para profesionales responsables de cuestiones relacionadas con el asilo, sanitarios, sociales, educativos, judiciales, de aplicación de la ley y otros </w:t>
      </w:r>
    </w:p>
    <w:p w14:paraId="1BDB7158" w14:textId="77777777" w:rsidR="00D66221" w:rsidRDefault="00D66221">
      <w:pPr>
        <w:pStyle w:val="BodyText"/>
        <w:kinsoku w:val="0"/>
        <w:overflowPunct w:val="0"/>
        <w:spacing w:before="123"/>
        <w:ind w:left="117"/>
        <w:rPr>
          <w:color w:val="000000"/>
        </w:rPr>
      </w:pPr>
      <w:r>
        <w:rPr>
          <w:rFonts w:ascii="FFDingbats" w:hAnsi="FFDingbats"/>
          <w:color w:val="9A258F"/>
        </w:rPr>
        <w:t>33</w:t>
      </w:r>
      <w:r>
        <w:rPr>
          <w:color w:val="000000"/>
        </w:rPr>
        <w:t>Investigaciones y estudios académicos</w:t>
      </w:r>
    </w:p>
    <w:p w14:paraId="4C9808A5" w14:textId="77777777" w:rsidR="00D66221" w:rsidRDefault="00D66221">
      <w:pPr>
        <w:pStyle w:val="BodyText"/>
        <w:kinsoku w:val="0"/>
        <w:overflowPunct w:val="0"/>
        <w:spacing w:before="132" w:line="230" w:lineRule="auto"/>
        <w:ind w:left="344" w:hanging="227"/>
        <w:rPr>
          <w:color w:val="000000"/>
        </w:rPr>
      </w:pPr>
      <w:r>
        <w:rPr>
          <w:rFonts w:ascii="FFDingbats" w:hAnsi="FFDingbats"/>
          <w:color w:val="9A258F"/>
        </w:rPr>
        <w:t>33</w:t>
      </w:r>
      <w:r>
        <w:rPr>
          <w:color w:val="000000"/>
        </w:rPr>
        <w:t>Campañas y programas de sensibilización nacionales e internacionales</w:t>
      </w:r>
    </w:p>
    <w:p w14:paraId="7F908D4F" w14:textId="77777777" w:rsidR="00D66221" w:rsidRDefault="00D66221">
      <w:pPr>
        <w:pStyle w:val="BodyText"/>
        <w:kinsoku w:val="0"/>
        <w:overflowPunct w:val="0"/>
        <w:spacing w:before="125"/>
        <w:ind w:left="117"/>
        <w:rPr>
          <w:color w:val="000000"/>
        </w:rPr>
      </w:pPr>
      <w:r>
        <w:rPr>
          <w:rFonts w:ascii="FFDingbats" w:hAnsi="FFDingbats"/>
          <w:color w:val="9A258F"/>
        </w:rPr>
        <w:t>33</w:t>
      </w:r>
      <w:r>
        <w:rPr>
          <w:color w:val="000000"/>
        </w:rPr>
        <w:t xml:space="preserve">Declaraciones e informes emitidos por ONG </w:t>
      </w:r>
    </w:p>
    <w:p w14:paraId="678A1B10" w14:textId="77777777" w:rsidR="00D66221" w:rsidRDefault="00D66221">
      <w:pPr>
        <w:pStyle w:val="BodyText"/>
        <w:kinsoku w:val="0"/>
        <w:overflowPunct w:val="0"/>
        <w:rPr>
          <w:sz w:val="22"/>
          <w:szCs w:val="22"/>
        </w:rPr>
      </w:pPr>
      <w:r>
        <w:br w:type="column"/>
      </w:r>
    </w:p>
    <w:p w14:paraId="383D2F52" w14:textId="77777777" w:rsidR="00D66221" w:rsidRDefault="00D66221">
      <w:pPr>
        <w:pStyle w:val="BodyText"/>
        <w:kinsoku w:val="0"/>
        <w:overflowPunct w:val="0"/>
        <w:rPr>
          <w:sz w:val="22"/>
          <w:szCs w:val="22"/>
        </w:rPr>
      </w:pPr>
    </w:p>
    <w:p w14:paraId="1E4D35F5" w14:textId="77777777" w:rsidR="00D66221" w:rsidRDefault="00D66221">
      <w:pPr>
        <w:pStyle w:val="BodyText"/>
        <w:kinsoku w:val="0"/>
        <w:overflowPunct w:val="0"/>
        <w:rPr>
          <w:sz w:val="22"/>
          <w:szCs w:val="22"/>
        </w:rPr>
      </w:pPr>
    </w:p>
    <w:p w14:paraId="131BB154" w14:textId="77777777" w:rsidR="00D66221" w:rsidRDefault="00D66221">
      <w:pPr>
        <w:pStyle w:val="BodyText"/>
        <w:kinsoku w:val="0"/>
        <w:overflowPunct w:val="0"/>
        <w:rPr>
          <w:sz w:val="22"/>
          <w:szCs w:val="22"/>
        </w:rPr>
      </w:pPr>
    </w:p>
    <w:p w14:paraId="286E9545" w14:textId="77777777" w:rsidR="00D66221" w:rsidRDefault="00D66221">
      <w:pPr>
        <w:pStyle w:val="BodyText"/>
        <w:kinsoku w:val="0"/>
        <w:overflowPunct w:val="0"/>
        <w:rPr>
          <w:sz w:val="22"/>
          <w:szCs w:val="22"/>
        </w:rPr>
      </w:pPr>
    </w:p>
    <w:p w14:paraId="356142EC" w14:textId="77777777" w:rsidR="00D66221" w:rsidRDefault="00D66221">
      <w:pPr>
        <w:pStyle w:val="BodyText"/>
        <w:kinsoku w:val="0"/>
        <w:overflowPunct w:val="0"/>
        <w:rPr>
          <w:sz w:val="22"/>
          <w:szCs w:val="22"/>
        </w:rPr>
      </w:pPr>
    </w:p>
    <w:p w14:paraId="6F511CD1" w14:textId="77777777" w:rsidR="00D66221" w:rsidRDefault="00D66221">
      <w:pPr>
        <w:pStyle w:val="BodyText"/>
        <w:kinsoku w:val="0"/>
        <w:overflowPunct w:val="0"/>
        <w:rPr>
          <w:sz w:val="22"/>
          <w:szCs w:val="22"/>
        </w:rPr>
      </w:pPr>
    </w:p>
    <w:p w14:paraId="15CB69E6" w14:textId="77777777" w:rsidR="00D66221" w:rsidRDefault="00D66221">
      <w:pPr>
        <w:pStyle w:val="BodyText"/>
        <w:kinsoku w:val="0"/>
        <w:overflowPunct w:val="0"/>
        <w:rPr>
          <w:sz w:val="22"/>
          <w:szCs w:val="22"/>
        </w:rPr>
      </w:pPr>
    </w:p>
    <w:p w14:paraId="37AA6CA7" w14:textId="77777777" w:rsidR="00D66221" w:rsidRDefault="00D66221">
      <w:pPr>
        <w:pStyle w:val="BodyText"/>
        <w:kinsoku w:val="0"/>
        <w:overflowPunct w:val="0"/>
        <w:rPr>
          <w:sz w:val="22"/>
          <w:szCs w:val="22"/>
        </w:rPr>
      </w:pPr>
    </w:p>
    <w:p w14:paraId="2017232E" w14:textId="77777777" w:rsidR="00D66221" w:rsidRDefault="00D66221">
      <w:pPr>
        <w:pStyle w:val="BodyText"/>
        <w:kinsoku w:val="0"/>
        <w:overflowPunct w:val="0"/>
        <w:rPr>
          <w:sz w:val="22"/>
          <w:szCs w:val="22"/>
        </w:rPr>
      </w:pPr>
    </w:p>
    <w:p w14:paraId="32AD4D64" w14:textId="77777777" w:rsidR="00D66221" w:rsidRDefault="00D66221">
      <w:pPr>
        <w:pStyle w:val="BodyText"/>
        <w:kinsoku w:val="0"/>
        <w:overflowPunct w:val="0"/>
        <w:rPr>
          <w:sz w:val="22"/>
          <w:szCs w:val="22"/>
        </w:rPr>
      </w:pPr>
    </w:p>
    <w:p w14:paraId="3D7EB937" w14:textId="77777777" w:rsidR="00D66221" w:rsidRDefault="00D66221">
      <w:pPr>
        <w:pStyle w:val="BodyText"/>
        <w:kinsoku w:val="0"/>
        <w:overflowPunct w:val="0"/>
        <w:rPr>
          <w:sz w:val="22"/>
          <w:szCs w:val="22"/>
        </w:rPr>
      </w:pPr>
    </w:p>
    <w:p w14:paraId="41943C30" w14:textId="77777777" w:rsidR="00D66221" w:rsidRDefault="00D66221">
      <w:pPr>
        <w:pStyle w:val="BodyText"/>
        <w:kinsoku w:val="0"/>
        <w:overflowPunct w:val="0"/>
        <w:rPr>
          <w:sz w:val="22"/>
          <w:szCs w:val="22"/>
        </w:rPr>
      </w:pPr>
    </w:p>
    <w:p w14:paraId="6ED5C2AB" w14:textId="77777777" w:rsidR="00D66221" w:rsidRDefault="00D66221">
      <w:pPr>
        <w:pStyle w:val="BodyText"/>
        <w:kinsoku w:val="0"/>
        <w:overflowPunct w:val="0"/>
        <w:rPr>
          <w:sz w:val="22"/>
          <w:szCs w:val="22"/>
        </w:rPr>
      </w:pPr>
    </w:p>
    <w:p w14:paraId="199A1408" w14:textId="77777777" w:rsidR="00D66221" w:rsidRDefault="00D66221">
      <w:pPr>
        <w:pStyle w:val="BodyText"/>
        <w:kinsoku w:val="0"/>
        <w:overflowPunct w:val="0"/>
        <w:rPr>
          <w:sz w:val="22"/>
          <w:szCs w:val="22"/>
        </w:rPr>
      </w:pPr>
    </w:p>
    <w:p w14:paraId="46FF3EC3" w14:textId="77777777" w:rsidR="00D66221" w:rsidRDefault="00D66221">
      <w:pPr>
        <w:pStyle w:val="BodyText"/>
        <w:kinsoku w:val="0"/>
        <w:overflowPunct w:val="0"/>
        <w:rPr>
          <w:sz w:val="22"/>
          <w:szCs w:val="22"/>
        </w:rPr>
      </w:pPr>
    </w:p>
    <w:p w14:paraId="4917A019" w14:textId="77777777" w:rsidR="00D66221" w:rsidRDefault="00D66221">
      <w:pPr>
        <w:pStyle w:val="BodyText"/>
        <w:kinsoku w:val="0"/>
        <w:overflowPunct w:val="0"/>
        <w:rPr>
          <w:sz w:val="22"/>
          <w:szCs w:val="22"/>
        </w:rPr>
      </w:pPr>
    </w:p>
    <w:p w14:paraId="2A65B015" w14:textId="77777777" w:rsidR="00D66221" w:rsidRDefault="00D66221">
      <w:pPr>
        <w:pStyle w:val="BodyText"/>
        <w:kinsoku w:val="0"/>
        <w:overflowPunct w:val="0"/>
        <w:rPr>
          <w:sz w:val="22"/>
          <w:szCs w:val="22"/>
        </w:rPr>
      </w:pPr>
    </w:p>
    <w:p w14:paraId="1A20D6AB" w14:textId="77777777" w:rsidR="00D66221" w:rsidRDefault="00D66221">
      <w:pPr>
        <w:pStyle w:val="BodyText"/>
        <w:kinsoku w:val="0"/>
        <w:overflowPunct w:val="0"/>
        <w:rPr>
          <w:sz w:val="22"/>
          <w:szCs w:val="22"/>
        </w:rPr>
      </w:pPr>
    </w:p>
    <w:p w14:paraId="78D82B12" w14:textId="77777777" w:rsidR="00D66221" w:rsidRDefault="00D66221">
      <w:pPr>
        <w:pStyle w:val="BodyText"/>
        <w:kinsoku w:val="0"/>
        <w:overflowPunct w:val="0"/>
        <w:rPr>
          <w:sz w:val="22"/>
          <w:szCs w:val="22"/>
        </w:rPr>
      </w:pPr>
    </w:p>
    <w:p w14:paraId="17F94049" w14:textId="77777777" w:rsidR="00D66221" w:rsidRDefault="00D66221">
      <w:pPr>
        <w:pStyle w:val="BodyText"/>
        <w:kinsoku w:val="0"/>
        <w:overflowPunct w:val="0"/>
        <w:rPr>
          <w:sz w:val="22"/>
          <w:szCs w:val="22"/>
        </w:rPr>
      </w:pPr>
    </w:p>
    <w:p w14:paraId="5023F5FA" w14:textId="77777777" w:rsidR="00D66221" w:rsidRDefault="00D66221">
      <w:pPr>
        <w:pStyle w:val="BodyText"/>
        <w:kinsoku w:val="0"/>
        <w:overflowPunct w:val="0"/>
        <w:spacing w:before="174" w:line="223" w:lineRule="exact"/>
        <w:ind w:left="117"/>
        <w:rPr>
          <w:color w:val="58595B"/>
          <w:sz w:val="17"/>
          <w:szCs w:val="17"/>
        </w:rPr>
      </w:pPr>
      <w:r>
        <w:rPr>
          <w:color w:val="58595B"/>
          <w:sz w:val="17"/>
          <w:szCs w:val="17"/>
        </w:rPr>
        <w:t>Niet met mej (No conmigo)</w:t>
      </w:r>
    </w:p>
    <w:p w14:paraId="0EA06046" w14:textId="77777777" w:rsidR="00D66221" w:rsidRDefault="00D66221">
      <w:pPr>
        <w:pStyle w:val="BodyText"/>
        <w:kinsoku w:val="0"/>
        <w:overflowPunct w:val="0"/>
        <w:spacing w:line="223" w:lineRule="exact"/>
        <w:ind w:left="117"/>
        <w:rPr>
          <w:color w:val="58595B"/>
          <w:sz w:val="17"/>
          <w:szCs w:val="17"/>
        </w:rPr>
      </w:pPr>
      <w:r>
        <w:rPr>
          <w:color w:val="58595B"/>
          <w:sz w:val="17"/>
          <w:szCs w:val="17"/>
        </w:rPr>
        <w:t>© Jonas Lampens – Febrero de 2014 - Bélgica</w:t>
      </w:r>
    </w:p>
    <w:p w14:paraId="399A18D9" w14:textId="77777777" w:rsidR="00D66221" w:rsidRDefault="00D66221">
      <w:pPr>
        <w:pStyle w:val="BodyText"/>
        <w:kinsoku w:val="0"/>
        <w:overflowPunct w:val="0"/>
        <w:spacing w:line="223" w:lineRule="exact"/>
        <w:ind w:left="117"/>
        <w:rPr>
          <w:color w:val="58595B"/>
          <w:sz w:val="17"/>
          <w:szCs w:val="17"/>
        </w:rPr>
        <w:sectPr w:rsidR="00D66221">
          <w:type w:val="continuous"/>
          <w:pgSz w:w="11910" w:h="16840"/>
          <w:pgMar w:top="840" w:right="0" w:bottom="280" w:left="1300" w:header="720" w:footer="720" w:gutter="0"/>
          <w:cols w:num="2" w:space="720" w:equalWidth="0">
            <w:col w:w="4523" w:space="182"/>
            <w:col w:w="5905"/>
          </w:cols>
          <w:noEndnote/>
        </w:sectPr>
      </w:pPr>
    </w:p>
    <w:p w14:paraId="67B8183E" w14:textId="77777777" w:rsidR="00D66221" w:rsidRDefault="00D66221">
      <w:pPr>
        <w:pStyle w:val="BodyText"/>
        <w:kinsoku w:val="0"/>
        <w:overflowPunct w:val="0"/>
      </w:pPr>
    </w:p>
    <w:p w14:paraId="1C86F371" w14:textId="77777777" w:rsidR="00D66221" w:rsidRDefault="00D66221">
      <w:pPr>
        <w:pStyle w:val="BodyText"/>
        <w:kinsoku w:val="0"/>
        <w:overflowPunct w:val="0"/>
      </w:pPr>
    </w:p>
    <w:p w14:paraId="003605A1" w14:textId="77777777" w:rsidR="00D66221" w:rsidRDefault="00D66221">
      <w:pPr>
        <w:pStyle w:val="BodyText"/>
        <w:kinsoku w:val="0"/>
        <w:overflowPunct w:val="0"/>
      </w:pPr>
    </w:p>
    <w:p w14:paraId="3382A138" w14:textId="77777777" w:rsidR="00D66221" w:rsidRDefault="00D66221">
      <w:pPr>
        <w:pStyle w:val="BodyText"/>
        <w:kinsoku w:val="0"/>
        <w:overflowPunct w:val="0"/>
      </w:pPr>
    </w:p>
    <w:p w14:paraId="356FAFDF" w14:textId="77777777" w:rsidR="00D66221" w:rsidRDefault="00D66221">
      <w:pPr>
        <w:pStyle w:val="BodyText"/>
        <w:kinsoku w:val="0"/>
        <w:overflowPunct w:val="0"/>
      </w:pPr>
    </w:p>
    <w:p w14:paraId="18BACDAA" w14:textId="77777777" w:rsidR="00D66221" w:rsidRDefault="00D66221">
      <w:pPr>
        <w:pStyle w:val="BodyText"/>
        <w:kinsoku w:val="0"/>
        <w:overflowPunct w:val="0"/>
      </w:pPr>
    </w:p>
    <w:p w14:paraId="5170A974" w14:textId="77777777" w:rsidR="00D66221" w:rsidRDefault="00D66221">
      <w:pPr>
        <w:pStyle w:val="BodyText"/>
        <w:kinsoku w:val="0"/>
        <w:overflowPunct w:val="0"/>
      </w:pPr>
    </w:p>
    <w:p w14:paraId="6A21B7E8" w14:textId="77777777" w:rsidR="00D66221" w:rsidRDefault="00D66221">
      <w:pPr>
        <w:pStyle w:val="BodyText"/>
        <w:kinsoku w:val="0"/>
        <w:overflowPunct w:val="0"/>
      </w:pPr>
    </w:p>
    <w:p w14:paraId="2A992749" w14:textId="77777777" w:rsidR="00D66221" w:rsidRDefault="00D66221">
      <w:pPr>
        <w:pStyle w:val="BodyText"/>
        <w:kinsoku w:val="0"/>
        <w:overflowPunct w:val="0"/>
      </w:pPr>
    </w:p>
    <w:p w14:paraId="5084D37E" w14:textId="77777777" w:rsidR="00D66221" w:rsidRDefault="00D66221">
      <w:pPr>
        <w:pStyle w:val="BodyText"/>
        <w:kinsoku w:val="0"/>
        <w:overflowPunct w:val="0"/>
      </w:pPr>
    </w:p>
    <w:p w14:paraId="12B2568D" w14:textId="77777777" w:rsidR="00D66221" w:rsidRDefault="00D66221">
      <w:pPr>
        <w:pStyle w:val="BodyText"/>
        <w:kinsoku w:val="0"/>
        <w:overflowPunct w:val="0"/>
      </w:pPr>
    </w:p>
    <w:p w14:paraId="5EAF2787" w14:textId="77777777" w:rsidR="00D66221" w:rsidRDefault="00D66221">
      <w:pPr>
        <w:pStyle w:val="BodyText"/>
        <w:kinsoku w:val="0"/>
        <w:overflowPunct w:val="0"/>
      </w:pPr>
    </w:p>
    <w:p w14:paraId="008C4AC0" w14:textId="77777777" w:rsidR="00D66221" w:rsidRDefault="00D66221">
      <w:pPr>
        <w:pStyle w:val="BodyText"/>
        <w:kinsoku w:val="0"/>
        <w:overflowPunct w:val="0"/>
      </w:pPr>
    </w:p>
    <w:p w14:paraId="211C6006" w14:textId="77777777" w:rsidR="00D66221" w:rsidRDefault="00D66221">
      <w:pPr>
        <w:pStyle w:val="BodyText"/>
        <w:kinsoku w:val="0"/>
        <w:overflowPunct w:val="0"/>
      </w:pPr>
    </w:p>
    <w:p w14:paraId="589C8977" w14:textId="77777777" w:rsidR="00D66221" w:rsidRDefault="00D66221">
      <w:pPr>
        <w:pStyle w:val="BodyText"/>
        <w:kinsoku w:val="0"/>
        <w:overflowPunct w:val="0"/>
      </w:pPr>
    </w:p>
    <w:p w14:paraId="085283EC" w14:textId="77777777" w:rsidR="00D66221" w:rsidRDefault="00D66221">
      <w:pPr>
        <w:pStyle w:val="BodyText"/>
        <w:kinsoku w:val="0"/>
        <w:overflowPunct w:val="0"/>
      </w:pPr>
    </w:p>
    <w:p w14:paraId="609B9CE5" w14:textId="77777777" w:rsidR="00D66221" w:rsidRDefault="00D66221">
      <w:pPr>
        <w:pStyle w:val="BodyText"/>
        <w:kinsoku w:val="0"/>
        <w:overflowPunct w:val="0"/>
      </w:pPr>
    </w:p>
    <w:p w14:paraId="4CDEE4D1" w14:textId="77777777" w:rsidR="00D66221" w:rsidRDefault="00D66221">
      <w:pPr>
        <w:pStyle w:val="BodyText"/>
        <w:kinsoku w:val="0"/>
        <w:overflowPunct w:val="0"/>
      </w:pPr>
    </w:p>
    <w:p w14:paraId="1DFD07C9" w14:textId="77777777" w:rsidR="00D66221" w:rsidRDefault="00D66221">
      <w:pPr>
        <w:pStyle w:val="BodyText"/>
        <w:kinsoku w:val="0"/>
        <w:overflowPunct w:val="0"/>
        <w:spacing w:before="11"/>
      </w:pPr>
    </w:p>
    <w:p w14:paraId="0F20660A" w14:textId="77777777" w:rsidR="00D66221" w:rsidRDefault="00D66221">
      <w:pPr>
        <w:pStyle w:val="ListParagraph"/>
        <w:numPr>
          <w:ilvl w:val="0"/>
          <w:numId w:val="3"/>
        </w:numPr>
        <w:tabs>
          <w:tab w:val="left" w:pos="345"/>
        </w:tabs>
        <w:kinsoku w:val="0"/>
        <w:overflowPunct w:val="0"/>
        <w:spacing w:line="199" w:lineRule="auto"/>
        <w:ind w:right="2317"/>
        <w:rPr>
          <w:color w:val="58595B"/>
          <w:sz w:val="16"/>
          <w:szCs w:val="16"/>
        </w:rPr>
      </w:pPr>
      <w:r>
        <w:rPr>
          <w:color w:val="58595B"/>
          <w:sz w:val="16"/>
          <w:szCs w:val="16"/>
        </w:rPr>
        <w:t>Para recomendaciones concretas a los medios de comunicación, consulte el Módulo 13 —Medios de comunicación de la Plataforma de conocimientos basada en la web para profesionales unidos para erradicar la MGF, lanzada en febrero de 2017— y el punto II. 3 de este documento.</w:t>
      </w:r>
    </w:p>
    <w:p w14:paraId="68F75410" w14:textId="77777777" w:rsidR="00D66221" w:rsidRDefault="00D66221">
      <w:pPr>
        <w:pStyle w:val="ListParagraph"/>
        <w:numPr>
          <w:ilvl w:val="0"/>
          <w:numId w:val="3"/>
        </w:numPr>
        <w:tabs>
          <w:tab w:val="left" w:pos="345"/>
        </w:tabs>
        <w:kinsoku w:val="0"/>
        <w:overflowPunct w:val="0"/>
        <w:spacing w:line="199" w:lineRule="auto"/>
        <w:ind w:right="2317"/>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7360E01F" w14:textId="77777777" w:rsidR="00D66221" w:rsidRDefault="00D66221">
      <w:pPr>
        <w:pStyle w:val="BodyText"/>
        <w:kinsoku w:val="0"/>
        <w:overflowPunct w:val="0"/>
        <w:spacing w:before="3"/>
        <w:rPr>
          <w:sz w:val="8"/>
          <w:szCs w:val="8"/>
        </w:rPr>
      </w:pPr>
    </w:p>
    <w:p w14:paraId="6682FE32" w14:textId="7FA5B489" w:rsidR="00D66221" w:rsidRDefault="00D66221" w:rsidP="00D728C0">
      <w:pPr>
        <w:pStyle w:val="Heading1"/>
        <w:numPr>
          <w:ilvl w:val="0"/>
          <w:numId w:val="2"/>
        </w:numPr>
        <w:tabs>
          <w:tab w:val="left" w:pos="685"/>
        </w:tabs>
        <w:kinsoku w:val="0"/>
        <w:overflowPunct w:val="0"/>
        <w:spacing w:before="163" w:line="204" w:lineRule="auto"/>
        <w:ind w:right="3947"/>
        <w:rPr>
          <w:color w:val="9A258F"/>
          <w:spacing w:val="-3"/>
        </w:rPr>
      </w:pPr>
      <w:bookmarkStart w:id="5" w:name="_bookmark4"/>
      <w:bookmarkEnd w:id="5"/>
      <w:r>
        <w:rPr>
          <w:color w:val="9A258F"/>
        </w:rPr>
        <w:t>Empoderamiento</w:t>
      </w:r>
      <w:r w:rsidR="00D728C0">
        <w:rPr>
          <w:color w:val="9A258F"/>
        </w:rPr>
        <w:t>,</w:t>
      </w:r>
      <w:r>
        <w:rPr>
          <w:color w:val="9A258F"/>
        </w:rPr>
        <w:t xml:space="preserve"> precisión y no estigmatización</w:t>
      </w:r>
    </w:p>
    <w:p w14:paraId="4A5EA499" w14:textId="77777777" w:rsidR="00D66221" w:rsidRDefault="00D66221">
      <w:pPr>
        <w:pStyle w:val="BodyText"/>
        <w:kinsoku w:val="0"/>
        <w:overflowPunct w:val="0"/>
        <w:rPr>
          <w:rFonts w:ascii="ChaletComprime-HongKongSixty" w:hAnsi="ChaletComprime-HongKongSixty" w:cs="ChaletComprime-HongKongSixty"/>
        </w:rPr>
      </w:pPr>
    </w:p>
    <w:p w14:paraId="2BDD52A8" w14:textId="77777777" w:rsidR="00D66221" w:rsidRDefault="00D66221">
      <w:pPr>
        <w:pStyle w:val="BodyText"/>
        <w:kinsoku w:val="0"/>
        <w:overflowPunct w:val="0"/>
        <w:rPr>
          <w:rFonts w:ascii="ChaletComprime-HongKongSixty" w:hAnsi="ChaletComprime-HongKongSixty" w:cs="ChaletComprime-HongKongSixty"/>
        </w:rPr>
      </w:pPr>
    </w:p>
    <w:p w14:paraId="64B8BF09" w14:textId="77777777" w:rsidR="00D66221" w:rsidRDefault="00D66221">
      <w:pPr>
        <w:pStyle w:val="BodyText"/>
        <w:kinsoku w:val="0"/>
        <w:overflowPunct w:val="0"/>
        <w:rPr>
          <w:rFonts w:ascii="ChaletComprime-HongKongSixty" w:hAnsi="ChaletComprime-HongKongSixty" w:cs="ChaletComprime-HongKongSixty"/>
        </w:rPr>
      </w:pPr>
    </w:p>
    <w:p w14:paraId="1E85AB77" w14:textId="77777777" w:rsidR="00D66221" w:rsidRDefault="00D66221">
      <w:pPr>
        <w:pStyle w:val="BodyText"/>
        <w:kinsoku w:val="0"/>
        <w:overflowPunct w:val="0"/>
        <w:rPr>
          <w:rFonts w:ascii="ChaletComprime-HongKongSixty" w:hAnsi="ChaletComprime-HongKongSixty" w:cs="ChaletComprime-HongKongSixty"/>
          <w:sz w:val="17"/>
          <w:szCs w:val="17"/>
        </w:rPr>
      </w:pPr>
    </w:p>
    <w:p w14:paraId="090FBCFD" w14:textId="77777777" w:rsidR="00D66221" w:rsidRDefault="00D66221">
      <w:pPr>
        <w:pStyle w:val="BodyText"/>
        <w:kinsoku w:val="0"/>
        <w:overflowPunct w:val="0"/>
        <w:rPr>
          <w:rFonts w:ascii="ChaletComprime-HongKongSixty" w:hAnsi="ChaletComprime-HongKongSixty" w:cs="ChaletComprime-HongKongSixty"/>
          <w:sz w:val="17"/>
          <w:szCs w:val="17"/>
        </w:rPr>
        <w:sectPr w:rsidR="00D66221">
          <w:pgSz w:w="11910" w:h="16840"/>
          <w:pgMar w:top="1580" w:right="0" w:bottom="280" w:left="1300" w:header="720" w:footer="720" w:gutter="0"/>
          <w:cols w:space="720"/>
          <w:noEndnote/>
        </w:sectPr>
      </w:pPr>
    </w:p>
    <w:p w14:paraId="3BD1F7B3" w14:textId="77777777" w:rsidR="00D66221" w:rsidRDefault="00D66221">
      <w:pPr>
        <w:pStyle w:val="Heading2"/>
        <w:numPr>
          <w:ilvl w:val="1"/>
          <w:numId w:val="2"/>
        </w:numPr>
        <w:tabs>
          <w:tab w:val="left" w:pos="571"/>
        </w:tabs>
        <w:kinsoku w:val="0"/>
        <w:overflowPunct w:val="0"/>
        <w:spacing w:before="72"/>
        <w:ind w:hanging="453"/>
      </w:pPr>
      <w:r>
        <w:lastRenderedPageBreak/>
        <w:t>Terminología del empoderamiento</w:t>
      </w:r>
    </w:p>
    <w:p w14:paraId="011853F1" w14:textId="5B5C7943" w:rsidR="00D66221" w:rsidRDefault="00D66221">
      <w:pPr>
        <w:pStyle w:val="BodyText"/>
        <w:kinsoku w:val="0"/>
        <w:overflowPunct w:val="0"/>
        <w:spacing w:before="126" w:line="230" w:lineRule="auto"/>
        <w:ind w:left="117" w:right="38"/>
        <w:jc w:val="both"/>
      </w:pPr>
      <w:r>
        <w:t xml:space="preserve">La Red Europea contra la Mutilación Genital Femenina (End FGM EU) se refiere a las mujeres y a las niñas que han sido sometidas a una MGF como </w:t>
      </w:r>
      <w:r w:rsidR="002A320B">
        <w:rPr>
          <w:rFonts w:ascii="GloriolaStd-MediumItalic" w:hAnsi="GloriolaStd-MediumItalic"/>
          <w:i/>
          <w:iCs/>
        </w:rPr>
        <w:t>supervivientes</w:t>
      </w:r>
      <w:r>
        <w:t>. Un(a) sobreviviente es una persona que ha sido sometida a una o varias formas de violencia y que está viviendo con las consecuencias mentales y físicas que ello conlleva en su</w:t>
      </w:r>
    </w:p>
    <w:p w14:paraId="1D58E3B9" w14:textId="77777777" w:rsidR="00D66221" w:rsidRDefault="00D66221">
      <w:pPr>
        <w:pStyle w:val="BodyText"/>
        <w:kinsoku w:val="0"/>
        <w:overflowPunct w:val="0"/>
        <w:rPr>
          <w:sz w:val="26"/>
          <w:szCs w:val="26"/>
        </w:rPr>
      </w:pPr>
      <w:r>
        <w:br w:type="column"/>
      </w:r>
    </w:p>
    <w:p w14:paraId="7624F943" w14:textId="77777777" w:rsidR="00D66221" w:rsidRDefault="00D66221">
      <w:pPr>
        <w:pStyle w:val="BodyText"/>
        <w:kinsoku w:val="0"/>
        <w:overflowPunct w:val="0"/>
        <w:spacing w:before="8"/>
        <w:rPr>
          <w:sz w:val="22"/>
          <w:szCs w:val="22"/>
        </w:rPr>
      </w:pPr>
    </w:p>
    <w:p w14:paraId="037B6881" w14:textId="77777777" w:rsidR="00D66221" w:rsidRDefault="00D66221">
      <w:pPr>
        <w:pStyle w:val="BodyText"/>
        <w:kinsoku w:val="0"/>
        <w:overflowPunct w:val="0"/>
        <w:spacing w:line="230" w:lineRule="auto"/>
        <w:ind w:left="117" w:right="1415"/>
        <w:jc w:val="both"/>
      </w:pPr>
      <w:r>
        <w:t xml:space="preserve">vida. Empleamos este término para subrayar la capacidad de resistencia de la mujer o niña y como un </w:t>
      </w:r>
      <w:r>
        <w:rPr>
          <w:rFonts w:ascii="GloriolaStd-Medium" w:hAnsi="GloriolaStd-Medium"/>
        </w:rPr>
        <w:t>elemento de empoderamiento del lenguaje</w:t>
      </w:r>
      <w:r>
        <w:t xml:space="preserve">, pero sin perjuicio del hecho de que la mujer o la niña pudiera preferir el término </w:t>
      </w:r>
      <w:r>
        <w:rPr>
          <w:rFonts w:ascii="GloriolaStd-MediumItalic" w:hAnsi="GloriolaStd-MediumItalic"/>
          <w:i/>
          <w:iCs/>
        </w:rPr>
        <w:t>víctima</w:t>
      </w:r>
      <w:r>
        <w:t>.</w:t>
      </w:r>
    </w:p>
    <w:p w14:paraId="3064E0F9" w14:textId="77777777" w:rsidR="00D66221" w:rsidRDefault="00D66221">
      <w:pPr>
        <w:pStyle w:val="BodyText"/>
        <w:kinsoku w:val="0"/>
        <w:overflowPunct w:val="0"/>
        <w:spacing w:line="230" w:lineRule="auto"/>
        <w:ind w:left="117" w:right="1415"/>
        <w:jc w:val="both"/>
        <w:sectPr w:rsidR="00D66221">
          <w:type w:val="continuous"/>
          <w:pgSz w:w="11910" w:h="16840"/>
          <w:pgMar w:top="840" w:right="0" w:bottom="280" w:left="1300" w:header="720" w:footer="720" w:gutter="0"/>
          <w:cols w:num="2" w:space="720" w:equalWidth="0">
            <w:col w:w="4524" w:space="182"/>
            <w:col w:w="5904"/>
          </w:cols>
          <w:noEndnote/>
        </w:sectPr>
      </w:pPr>
    </w:p>
    <w:p w14:paraId="29178E92" w14:textId="77777777" w:rsidR="00D66221" w:rsidRDefault="00D66221">
      <w:pPr>
        <w:pStyle w:val="BodyText"/>
        <w:kinsoku w:val="0"/>
        <w:overflowPunct w:val="0"/>
      </w:pPr>
    </w:p>
    <w:p w14:paraId="07C52FEA" w14:textId="77777777" w:rsidR="00D66221" w:rsidRDefault="00D66221">
      <w:pPr>
        <w:pStyle w:val="BodyText"/>
        <w:kinsoku w:val="0"/>
        <w:overflowPunct w:val="0"/>
      </w:pPr>
    </w:p>
    <w:p w14:paraId="32CBD251" w14:textId="77777777" w:rsidR="00D66221" w:rsidRDefault="00D66221">
      <w:pPr>
        <w:pStyle w:val="BodyText"/>
        <w:kinsoku w:val="0"/>
        <w:overflowPunct w:val="0"/>
      </w:pPr>
    </w:p>
    <w:p w14:paraId="50502AA4" w14:textId="77777777" w:rsidR="00D66221" w:rsidRDefault="00D66221">
      <w:pPr>
        <w:pStyle w:val="BodyText"/>
        <w:kinsoku w:val="0"/>
        <w:overflowPunct w:val="0"/>
      </w:pPr>
    </w:p>
    <w:p w14:paraId="2E80BEC7" w14:textId="77777777" w:rsidR="00D66221" w:rsidRDefault="00D66221">
      <w:pPr>
        <w:pStyle w:val="BodyText"/>
        <w:kinsoku w:val="0"/>
        <w:overflowPunct w:val="0"/>
      </w:pPr>
    </w:p>
    <w:p w14:paraId="1C23B309" w14:textId="77777777" w:rsidR="00D66221" w:rsidRDefault="00D66221">
      <w:pPr>
        <w:pStyle w:val="BodyText"/>
        <w:kinsoku w:val="0"/>
        <w:overflowPunct w:val="0"/>
      </w:pPr>
    </w:p>
    <w:p w14:paraId="20981279" w14:textId="77777777" w:rsidR="00D66221" w:rsidRDefault="00D66221">
      <w:pPr>
        <w:pStyle w:val="BodyText"/>
        <w:kinsoku w:val="0"/>
        <w:overflowPunct w:val="0"/>
      </w:pPr>
    </w:p>
    <w:p w14:paraId="05097A43" w14:textId="77777777" w:rsidR="00D66221" w:rsidRDefault="00D66221">
      <w:pPr>
        <w:pStyle w:val="BodyText"/>
        <w:kinsoku w:val="0"/>
        <w:overflowPunct w:val="0"/>
        <w:spacing w:before="5"/>
        <w:rPr>
          <w:sz w:val="19"/>
          <w:szCs w:val="19"/>
        </w:rPr>
      </w:pPr>
    </w:p>
    <w:p w14:paraId="57A408B2" w14:textId="77777777" w:rsidR="00D66221" w:rsidRPr="00D728C0" w:rsidRDefault="00D66221">
      <w:pPr>
        <w:pStyle w:val="BodyText"/>
        <w:kinsoku w:val="0"/>
        <w:overflowPunct w:val="0"/>
        <w:spacing w:before="79"/>
        <w:ind w:left="117"/>
        <w:rPr>
          <w:color w:val="58595B"/>
          <w:sz w:val="17"/>
          <w:szCs w:val="17"/>
          <w:lang w:val="en-US"/>
        </w:rPr>
      </w:pPr>
      <w:r w:rsidRPr="00D728C0">
        <w:rPr>
          <w:color w:val="58595B"/>
          <w:sz w:val="17"/>
          <w:szCs w:val="17"/>
          <w:lang w:val="en-US"/>
        </w:rPr>
        <w:t>Teachers / © Jonathan Zenti – Diciembre de 2016</w:t>
      </w:r>
    </w:p>
    <w:p w14:paraId="4AEE82E2" w14:textId="77777777" w:rsidR="00D66221" w:rsidRPr="00D728C0" w:rsidRDefault="00D66221">
      <w:pPr>
        <w:pStyle w:val="BodyText"/>
        <w:kinsoku w:val="0"/>
        <w:overflowPunct w:val="0"/>
        <w:spacing w:before="6"/>
        <w:rPr>
          <w:sz w:val="18"/>
          <w:szCs w:val="18"/>
          <w:lang w:val="en-US"/>
        </w:rPr>
      </w:pPr>
    </w:p>
    <w:p w14:paraId="3B1FF95C" w14:textId="77777777" w:rsidR="00D66221" w:rsidRPr="00D728C0" w:rsidRDefault="00D66221">
      <w:pPr>
        <w:pStyle w:val="BodyText"/>
        <w:kinsoku w:val="0"/>
        <w:overflowPunct w:val="0"/>
        <w:spacing w:before="6"/>
        <w:rPr>
          <w:sz w:val="18"/>
          <w:szCs w:val="18"/>
          <w:lang w:val="en-US"/>
        </w:rPr>
        <w:sectPr w:rsidR="00D66221" w:rsidRPr="00D728C0">
          <w:type w:val="continuous"/>
          <w:pgSz w:w="11910" w:h="16840"/>
          <w:pgMar w:top="840" w:right="0" w:bottom="280" w:left="1300" w:header="720" w:footer="720" w:gutter="0"/>
          <w:cols w:space="720" w:equalWidth="0">
            <w:col w:w="10610"/>
          </w:cols>
          <w:noEndnote/>
        </w:sectPr>
      </w:pPr>
    </w:p>
    <w:p w14:paraId="54AE0F6B" w14:textId="15152AA8" w:rsidR="00D66221" w:rsidRDefault="00D66221">
      <w:pPr>
        <w:pStyle w:val="BodyText"/>
        <w:kinsoku w:val="0"/>
        <w:overflowPunct w:val="0"/>
        <w:spacing w:before="84" w:line="230" w:lineRule="auto"/>
        <w:ind w:left="117" w:right="38"/>
        <w:jc w:val="both"/>
      </w:pPr>
      <w:r>
        <w:lastRenderedPageBreak/>
        <w:t>Muchas mujeres y niñas que han sido sometidas a una MGF también han adoptado este término</w:t>
      </w:r>
      <w:r>
        <w:rPr>
          <w:sz w:val="11"/>
          <w:szCs w:val="11"/>
        </w:rPr>
        <w:t xml:space="preserve">16 </w:t>
      </w:r>
      <w:r>
        <w:t xml:space="preserve">para evitar una forma de </w:t>
      </w:r>
      <w:r>
        <w:rPr>
          <w:rFonts w:ascii="GloriolaStd-Medium" w:hAnsi="GloriolaStd-Medium"/>
        </w:rPr>
        <w:t xml:space="preserve">revictimización </w:t>
      </w:r>
      <w:r>
        <w:t xml:space="preserve">mediante la palabra «víctima». Aunque el último término se define de manera neutra como </w:t>
      </w:r>
      <w:r>
        <w:rPr>
          <w:rFonts w:ascii="GloriolaStd-LightItalic" w:hAnsi="GloriolaStd-LightItalic"/>
          <w:i/>
          <w:iCs/>
        </w:rPr>
        <w:t>una persona lesionada, herida o muerta como consecuencia de un delito, accidente u otras circunstancias</w:t>
      </w:r>
      <w:r>
        <w:rPr>
          <w:sz w:val="11"/>
          <w:szCs w:val="11"/>
        </w:rPr>
        <w:t>17</w:t>
      </w:r>
      <w:r>
        <w:t xml:space="preserve">, puede también sugerir, en el plano simbólico, un sentido de </w:t>
      </w:r>
      <w:r>
        <w:rPr>
          <w:rFonts w:ascii="GloriolaStd-Medium" w:hAnsi="GloriolaStd-Medium"/>
        </w:rPr>
        <w:t xml:space="preserve">impotencia </w:t>
      </w:r>
      <w:r>
        <w:t xml:space="preserve">y </w:t>
      </w:r>
      <w:r>
        <w:rPr>
          <w:rFonts w:ascii="GloriolaStd-Medium" w:hAnsi="GloriolaStd-Medium"/>
        </w:rPr>
        <w:t xml:space="preserve">pasividad constantes </w:t>
      </w:r>
      <w:r>
        <w:t xml:space="preserve">que muchas mujeres rechazan ya que se opone al empoderamiento. Con el término </w:t>
      </w:r>
      <w:r>
        <w:rPr>
          <w:rFonts w:ascii="GloriolaStd-LightItalic" w:hAnsi="GloriolaStd-LightItalic"/>
          <w:i/>
          <w:iCs/>
        </w:rPr>
        <w:t xml:space="preserve">sobreviviente </w:t>
      </w:r>
      <w:r>
        <w:t xml:space="preserve">se reconoce la violencia por la que ha pasado la mujer, pero también subraya su papel activo en la superación de la violencia, e incluso en la lucha y la denuncia de la MGF. Como tal, es una </w:t>
      </w:r>
      <w:r>
        <w:rPr>
          <w:rFonts w:ascii="GloriolaStd-Medium" w:hAnsi="GloriolaStd-Medium"/>
        </w:rPr>
        <w:t xml:space="preserve">palabra positiva y empoderadora </w:t>
      </w:r>
      <w:r>
        <w:t>y puede utilizarse más allá del campo de la promoción de los intereses de las posibles afectadas.</w:t>
      </w:r>
    </w:p>
    <w:p w14:paraId="34926346" w14:textId="1D7CAED9" w:rsidR="00D66221" w:rsidRDefault="00D66221">
      <w:pPr>
        <w:pStyle w:val="BodyText"/>
        <w:kinsoku w:val="0"/>
        <w:overflowPunct w:val="0"/>
        <w:spacing w:before="84" w:line="230" w:lineRule="auto"/>
        <w:ind w:left="117" w:right="1414"/>
        <w:jc w:val="both"/>
      </w:pPr>
      <w:r>
        <w:br w:type="column"/>
      </w:r>
      <w:r>
        <w:lastRenderedPageBreak/>
        <w:t xml:space="preserve">Por otro lado, las mujeres pueden también optar por utilizar el término </w:t>
      </w:r>
      <w:r>
        <w:rPr>
          <w:rFonts w:ascii="GloriolaStd-LightItalic" w:hAnsi="GloriolaStd-LightItalic"/>
          <w:i/>
          <w:iCs/>
        </w:rPr>
        <w:t xml:space="preserve">víctima </w:t>
      </w:r>
      <w:r>
        <w:t>como una palabra empoderadora para demostrar que la violencia a la que fueron sometidas no se ha pasado por alto y no se olvida. En consecuencia, en relatos y testimonios presentados en los medios de comunicación o en los instrumentos de comunicación y de promoción de los intereses de las posibles afectadas, a la mujer o niña entrevistada se le debe preguntar qué término prefiere.</w:t>
      </w:r>
    </w:p>
    <w:p w14:paraId="6EF74161" w14:textId="77777777" w:rsidR="00D66221" w:rsidRDefault="00D66221">
      <w:pPr>
        <w:pStyle w:val="BodyText"/>
        <w:kinsoku w:val="0"/>
        <w:overflowPunct w:val="0"/>
        <w:spacing w:before="6"/>
        <w:rPr>
          <w:sz w:val="18"/>
          <w:szCs w:val="18"/>
        </w:rPr>
      </w:pPr>
    </w:p>
    <w:p w14:paraId="1E9414FC" w14:textId="77777777" w:rsidR="00D66221" w:rsidRDefault="00D66221">
      <w:pPr>
        <w:pStyle w:val="BodyText"/>
        <w:kinsoku w:val="0"/>
        <w:overflowPunct w:val="0"/>
        <w:spacing w:line="230" w:lineRule="auto"/>
        <w:ind w:left="117" w:right="1415"/>
        <w:jc w:val="both"/>
      </w:pPr>
      <w:r>
        <w:t xml:space="preserve">Además, el término </w:t>
      </w:r>
      <w:r>
        <w:rPr>
          <w:rFonts w:ascii="GloriolaStd-LightItalic" w:hAnsi="GloriolaStd-LightItalic"/>
          <w:i/>
          <w:iCs/>
        </w:rPr>
        <w:t xml:space="preserve">sobreviviente </w:t>
      </w:r>
      <w:r>
        <w:t>no tiene un significado jurídico, por lo que es difícil que se incorpore en la jerga jurídica, por ejemplo, en la legislación, las sentencias judiciales o los informes policiales. El mismo principio se aplica a los informes del país de origen donde el</w:t>
      </w:r>
    </w:p>
    <w:p w14:paraId="31F5CD02" w14:textId="77777777" w:rsidR="00D66221" w:rsidRDefault="00D66221">
      <w:pPr>
        <w:pStyle w:val="BodyText"/>
        <w:kinsoku w:val="0"/>
        <w:overflowPunct w:val="0"/>
        <w:spacing w:line="230" w:lineRule="auto"/>
        <w:ind w:left="117" w:right="1415"/>
        <w:jc w:val="both"/>
        <w:sectPr w:rsidR="00D66221">
          <w:type w:val="continuous"/>
          <w:pgSz w:w="11910" w:h="16840"/>
          <w:pgMar w:top="840" w:right="0" w:bottom="280" w:left="1300" w:header="720" w:footer="720" w:gutter="0"/>
          <w:cols w:num="2" w:space="720" w:equalWidth="0">
            <w:col w:w="4524" w:space="182"/>
            <w:col w:w="5904"/>
          </w:cols>
          <w:noEndnote/>
        </w:sectPr>
      </w:pPr>
    </w:p>
    <w:p w14:paraId="3DC687D0" w14:textId="77777777" w:rsidR="00D66221" w:rsidRDefault="00D66221">
      <w:pPr>
        <w:pStyle w:val="BodyText"/>
        <w:kinsoku w:val="0"/>
        <w:overflowPunct w:val="0"/>
      </w:pPr>
    </w:p>
    <w:p w14:paraId="04551859" w14:textId="77777777" w:rsidR="00D66221" w:rsidRDefault="00D66221">
      <w:pPr>
        <w:pStyle w:val="BodyText"/>
        <w:kinsoku w:val="0"/>
        <w:overflowPunct w:val="0"/>
        <w:spacing w:before="9"/>
        <w:rPr>
          <w:sz w:val="29"/>
          <w:szCs w:val="29"/>
        </w:rPr>
      </w:pPr>
    </w:p>
    <w:p w14:paraId="4F93C361" w14:textId="77777777" w:rsidR="00D66221" w:rsidRDefault="00D66221">
      <w:pPr>
        <w:pStyle w:val="ListParagraph"/>
        <w:numPr>
          <w:ilvl w:val="0"/>
          <w:numId w:val="3"/>
        </w:numPr>
        <w:tabs>
          <w:tab w:val="left" w:pos="345"/>
        </w:tabs>
        <w:kinsoku w:val="0"/>
        <w:overflowPunct w:val="0"/>
        <w:spacing w:before="110" w:line="201" w:lineRule="auto"/>
        <w:ind w:right="1454"/>
        <w:rPr>
          <w:color w:val="58595B"/>
          <w:sz w:val="16"/>
          <w:szCs w:val="16"/>
        </w:rPr>
      </w:pPr>
      <w:r>
        <w:rPr>
          <w:color w:val="58595B"/>
          <w:sz w:val="16"/>
          <w:szCs w:val="16"/>
        </w:rPr>
        <w:t xml:space="preserve">FRESKO-ROLFO Béatrice, </w:t>
      </w:r>
      <w:r>
        <w:rPr>
          <w:rFonts w:ascii="GloriolaStd-LightItalic" w:hAnsi="GloriolaStd-LightItalic"/>
          <w:i/>
          <w:iCs/>
          <w:color w:val="58595B"/>
          <w:sz w:val="16"/>
          <w:szCs w:val="16"/>
        </w:rPr>
        <w:t>Female genital mutilation in Europe</w:t>
      </w:r>
      <w:r>
        <w:rPr>
          <w:color w:val="58595B"/>
          <w:sz w:val="16"/>
          <w:szCs w:val="16"/>
        </w:rPr>
        <w:t xml:space="preserve">, Report, Council of Europe Parliamentary Assembly 19 de septiembre de 2016, p. 7 § 16 </w:t>
      </w:r>
      <w:hyperlink r:id="rId21" w:history="1">
        <w:r>
          <w:rPr>
            <w:color w:val="58595B"/>
            <w:sz w:val="16"/>
            <w:szCs w:val="16"/>
            <w:u w:val="single"/>
          </w:rPr>
          <w:t>http://semantic-pace.net/tools/pdf.aspx?doc=aHR0cDovL2Fzc2VtYmx5LmNvZS5pbnQvbncveG1sL1hSZWYvW</w:t>
        </w:r>
      </w:hyperlink>
      <w:hyperlink r:id="rId22" w:history="1">
        <w:r>
          <w:rPr>
            <w:color w:val="58595B"/>
            <w:sz w:val="16"/>
            <w:szCs w:val="16"/>
            <w:u w:val="single"/>
          </w:rPr>
          <w:t xml:space="preserve"> DJILURXLWV4dHIuYXNwP2ZpbGVpZD0yMzAwOCZsYW5nPUVO&amp;xsl=aHR0cDovL3NlbWFudGljcGFjZS5uZXQvWHNsdC</w:t>
        </w:r>
      </w:hyperlink>
      <w:hyperlink r:id="rId23" w:history="1">
        <w:r>
          <w:rPr>
            <w:color w:val="58595B"/>
            <w:sz w:val="16"/>
            <w:szCs w:val="16"/>
            <w:u w:val="single"/>
          </w:rPr>
          <w:t xml:space="preserve"> 9QZGYvWFJlZi1XRC1BVC1YTUwyUERGLnhzbA==&amp;xsltparams=ZmlsZWlkPTIzMDA4</w:t>
        </w:r>
      </w:hyperlink>
    </w:p>
    <w:p w14:paraId="72BB5127" w14:textId="77777777" w:rsidR="00D66221" w:rsidRDefault="00D66221">
      <w:pPr>
        <w:pStyle w:val="ListParagraph"/>
        <w:numPr>
          <w:ilvl w:val="0"/>
          <w:numId w:val="3"/>
        </w:numPr>
        <w:tabs>
          <w:tab w:val="left" w:pos="345"/>
        </w:tabs>
        <w:kinsoku w:val="0"/>
        <w:overflowPunct w:val="0"/>
        <w:spacing w:before="59" w:line="201" w:lineRule="auto"/>
        <w:ind w:right="1674"/>
        <w:jc w:val="both"/>
        <w:rPr>
          <w:color w:val="58595B"/>
          <w:sz w:val="17"/>
          <w:szCs w:val="17"/>
        </w:rPr>
      </w:pPr>
      <w:r>
        <w:rPr>
          <w:color w:val="58595B"/>
          <w:sz w:val="17"/>
          <w:szCs w:val="17"/>
        </w:rPr>
        <w:lastRenderedPageBreak/>
        <w:t xml:space="preserve">En la Directiva </w:t>
      </w:r>
      <w:hyperlink r:id="rId24" w:history="1">
        <w:r>
          <w:rPr>
            <w:color w:val="58595B"/>
            <w:sz w:val="17"/>
            <w:szCs w:val="17"/>
          </w:rPr>
          <w:t xml:space="preserve">2012/29/UE </w:t>
        </w:r>
      </w:hyperlink>
      <w:r>
        <w:rPr>
          <w:color w:val="58595B"/>
          <w:sz w:val="17"/>
          <w:szCs w:val="17"/>
        </w:rPr>
        <w:t>por la que se establecen normas mínimas sobre los derechos, el apoyo y la protección de las víctimas de delitos, el término «víctima» se define legalmente como «la persona física que haya sufrido un daño o perjuicio, en especial lesiones físicas o mentales, daños emocionales o un perjuicio económico, directamente causado por una infracción penal».</w:t>
      </w:r>
    </w:p>
    <w:p w14:paraId="17253B1C" w14:textId="77777777" w:rsidR="00D66221" w:rsidRDefault="00D66221">
      <w:pPr>
        <w:pStyle w:val="ListParagraph"/>
        <w:numPr>
          <w:ilvl w:val="0"/>
          <w:numId w:val="3"/>
        </w:numPr>
        <w:tabs>
          <w:tab w:val="left" w:pos="345"/>
        </w:tabs>
        <w:kinsoku w:val="0"/>
        <w:overflowPunct w:val="0"/>
        <w:spacing w:before="59" w:line="201" w:lineRule="auto"/>
        <w:ind w:right="1674"/>
        <w:jc w:val="both"/>
        <w:rPr>
          <w:color w:val="58595B"/>
          <w:sz w:val="17"/>
          <w:szCs w:val="17"/>
        </w:rPr>
        <w:sectPr w:rsidR="00D66221">
          <w:type w:val="continuous"/>
          <w:pgSz w:w="11910" w:h="16840"/>
          <w:pgMar w:top="840" w:right="0" w:bottom="280" w:left="1300" w:header="720" w:footer="720" w:gutter="0"/>
          <w:cols w:space="720" w:equalWidth="0">
            <w:col w:w="10610"/>
          </w:cols>
          <w:noEndnote/>
        </w:sectPr>
      </w:pPr>
    </w:p>
    <w:p w14:paraId="0A59510E" w14:textId="77777777" w:rsidR="00D66221" w:rsidRDefault="00D66221">
      <w:pPr>
        <w:pStyle w:val="BodyText"/>
        <w:kinsoku w:val="0"/>
        <w:overflowPunct w:val="0"/>
        <w:rPr>
          <w:sz w:val="16"/>
          <w:szCs w:val="16"/>
        </w:rPr>
      </w:pPr>
    </w:p>
    <w:p w14:paraId="1F873C30" w14:textId="77777777" w:rsidR="00D66221" w:rsidRDefault="00D66221">
      <w:pPr>
        <w:pStyle w:val="BodyText"/>
        <w:kinsoku w:val="0"/>
        <w:overflowPunct w:val="0"/>
        <w:rPr>
          <w:sz w:val="16"/>
          <w:szCs w:val="16"/>
        </w:rPr>
        <w:sectPr w:rsidR="00D66221">
          <w:pgSz w:w="11910" w:h="16840"/>
          <w:pgMar w:top="1580" w:right="0" w:bottom="280" w:left="1300" w:header="720" w:footer="720" w:gutter="0"/>
          <w:cols w:space="720"/>
          <w:noEndnote/>
        </w:sectPr>
      </w:pPr>
    </w:p>
    <w:p w14:paraId="221CB676" w14:textId="534C7CB1" w:rsidR="00D66221" w:rsidRDefault="00D66221">
      <w:pPr>
        <w:pStyle w:val="BodyText"/>
        <w:kinsoku w:val="0"/>
        <w:overflowPunct w:val="0"/>
        <w:spacing w:before="92" w:line="230" w:lineRule="auto"/>
        <w:ind w:left="117" w:right="38"/>
        <w:jc w:val="both"/>
      </w:pPr>
      <w:bookmarkStart w:id="6" w:name="_bookmark5"/>
      <w:bookmarkEnd w:id="6"/>
      <w:r>
        <w:lastRenderedPageBreak/>
        <w:t xml:space="preserve">término «víctima» debe utilizarse para reconocer que una MGF pasada y el riesgo de verse sometida a ella son formas de persecución y constituyen un motivo para conceder asilo. Por consiguiente, alentamos a incorporar el uso del término </w:t>
      </w:r>
      <w:r>
        <w:rPr>
          <w:rFonts w:ascii="GloriolaStd-LightItalic" w:hAnsi="GloriolaStd-LightItalic"/>
          <w:i/>
          <w:iCs/>
        </w:rPr>
        <w:t xml:space="preserve">sobreviviente </w:t>
      </w:r>
      <w:r>
        <w:t xml:space="preserve">en lugar de </w:t>
      </w:r>
      <w:r>
        <w:rPr>
          <w:rFonts w:ascii="GloriolaStd-LightItalic" w:hAnsi="GloriolaStd-LightItalic"/>
          <w:i/>
          <w:iCs/>
        </w:rPr>
        <w:t xml:space="preserve">víctima </w:t>
      </w:r>
      <w:r>
        <w:t>en los contextos pertinentes, tales como:</w:t>
      </w:r>
    </w:p>
    <w:p w14:paraId="4290891C" w14:textId="77777777" w:rsidR="00D66221" w:rsidRDefault="00D66221">
      <w:pPr>
        <w:pStyle w:val="BodyText"/>
        <w:kinsoku w:val="0"/>
        <w:overflowPunct w:val="0"/>
        <w:spacing w:before="1"/>
        <w:rPr>
          <w:sz w:val="18"/>
          <w:szCs w:val="18"/>
        </w:rPr>
      </w:pPr>
    </w:p>
    <w:p w14:paraId="3DE8D283" w14:textId="77777777" w:rsidR="00D66221" w:rsidRDefault="00D66221">
      <w:pPr>
        <w:pStyle w:val="BodyText"/>
        <w:kinsoku w:val="0"/>
        <w:overflowPunct w:val="0"/>
        <w:ind w:left="117"/>
        <w:rPr>
          <w:color w:val="000000"/>
        </w:rPr>
      </w:pPr>
      <w:r>
        <w:rPr>
          <w:rFonts w:ascii="FFDingbats" w:hAnsi="FFDingbats"/>
          <w:color w:val="9A258F"/>
        </w:rPr>
        <w:t>33</w:t>
      </w:r>
      <w:r>
        <w:t>Artículos o informes de periódicos y de otros medios de comunicación</w:t>
      </w:r>
    </w:p>
    <w:p w14:paraId="27E0AF2D" w14:textId="77777777" w:rsidR="00D66221" w:rsidRDefault="00D66221">
      <w:pPr>
        <w:pStyle w:val="BodyText"/>
        <w:kinsoku w:val="0"/>
        <w:overflowPunct w:val="0"/>
        <w:spacing w:before="133" w:line="230" w:lineRule="auto"/>
        <w:ind w:left="344" w:hanging="227"/>
        <w:rPr>
          <w:color w:val="000000"/>
        </w:rPr>
      </w:pPr>
      <w:r>
        <w:rPr>
          <w:rFonts w:ascii="FFDingbats" w:hAnsi="FFDingbats"/>
          <w:color w:val="9A258F"/>
        </w:rPr>
        <w:t>33</w:t>
      </w:r>
      <w:r>
        <w:rPr>
          <w:color w:val="000000"/>
        </w:rPr>
        <w:t>Declaraciones e informes de políticos y funcionarios gubernamentales</w:t>
      </w:r>
    </w:p>
    <w:p w14:paraId="71AD250A" w14:textId="48D75C75" w:rsidR="00D66221" w:rsidRDefault="00D66221">
      <w:pPr>
        <w:pStyle w:val="BodyText"/>
        <w:kinsoku w:val="0"/>
        <w:overflowPunct w:val="0"/>
        <w:spacing w:before="133" w:line="230" w:lineRule="auto"/>
        <w:ind w:left="344" w:hanging="227"/>
        <w:rPr>
          <w:color w:val="000000"/>
        </w:rPr>
      </w:pPr>
      <w:r>
        <w:rPr>
          <w:rFonts w:ascii="FFDingbats" w:hAnsi="FFDingbats"/>
          <w:color w:val="9A258F"/>
        </w:rPr>
        <w:t>33</w:t>
      </w:r>
      <w:r>
        <w:rPr>
          <w:color w:val="000000"/>
        </w:rPr>
        <w:t xml:space="preserve">Directrices oficiales para profesionales responsables de cuestiones relacionadas con el asilo, sanitarios, sociales, educativos y otros </w:t>
      </w:r>
    </w:p>
    <w:p w14:paraId="1A72ECB7" w14:textId="77777777" w:rsidR="00D66221" w:rsidRDefault="00D66221">
      <w:pPr>
        <w:pStyle w:val="BodyText"/>
        <w:kinsoku w:val="0"/>
        <w:overflowPunct w:val="0"/>
        <w:spacing w:before="125"/>
        <w:ind w:left="117"/>
        <w:rPr>
          <w:color w:val="000000"/>
        </w:rPr>
      </w:pPr>
      <w:r>
        <w:rPr>
          <w:rFonts w:ascii="FFDingbats" w:hAnsi="FFDingbats"/>
          <w:color w:val="9A258F"/>
        </w:rPr>
        <w:t>33</w:t>
      </w:r>
      <w:r>
        <w:rPr>
          <w:color w:val="000000"/>
        </w:rPr>
        <w:t>Investigaciones y estudios académicos</w:t>
      </w:r>
    </w:p>
    <w:p w14:paraId="45EFFA87" w14:textId="77777777" w:rsidR="00D66221" w:rsidRDefault="00D66221">
      <w:pPr>
        <w:pStyle w:val="BodyText"/>
        <w:kinsoku w:val="0"/>
        <w:overflowPunct w:val="0"/>
        <w:spacing w:before="132" w:line="230" w:lineRule="auto"/>
        <w:ind w:left="344" w:hanging="227"/>
        <w:rPr>
          <w:color w:val="000000"/>
        </w:rPr>
      </w:pPr>
      <w:r>
        <w:rPr>
          <w:rFonts w:ascii="FFDingbats" w:hAnsi="FFDingbats"/>
          <w:color w:val="9A258F"/>
        </w:rPr>
        <w:t>33</w:t>
      </w:r>
      <w:r>
        <w:rPr>
          <w:color w:val="000000"/>
        </w:rPr>
        <w:t>Campañas y programas de sensibilización nacionales e internacionales</w:t>
      </w:r>
    </w:p>
    <w:p w14:paraId="226AE2EA" w14:textId="77777777" w:rsidR="00D66221" w:rsidRDefault="00D66221">
      <w:pPr>
        <w:pStyle w:val="BodyText"/>
        <w:kinsoku w:val="0"/>
        <w:overflowPunct w:val="0"/>
        <w:spacing w:before="125"/>
        <w:ind w:left="117"/>
        <w:rPr>
          <w:color w:val="000000"/>
        </w:rPr>
      </w:pPr>
      <w:r>
        <w:rPr>
          <w:rFonts w:ascii="FFDingbats" w:hAnsi="FFDingbats"/>
          <w:color w:val="9A258F"/>
        </w:rPr>
        <w:t>33</w:t>
      </w:r>
      <w:r>
        <w:rPr>
          <w:color w:val="000000"/>
        </w:rPr>
        <w:t xml:space="preserve">Declaraciones e informes emitidos por ONG </w:t>
      </w:r>
    </w:p>
    <w:p w14:paraId="798FE4A0" w14:textId="77777777" w:rsidR="00D66221" w:rsidRDefault="00D66221">
      <w:pPr>
        <w:pStyle w:val="BodyText"/>
        <w:kinsoku w:val="0"/>
        <w:overflowPunct w:val="0"/>
        <w:spacing w:before="12"/>
        <w:rPr>
          <w:sz w:val="18"/>
          <w:szCs w:val="18"/>
        </w:rPr>
      </w:pPr>
    </w:p>
    <w:p w14:paraId="2042C21E" w14:textId="45FCE14B" w:rsidR="00D66221" w:rsidRDefault="00D66221">
      <w:pPr>
        <w:pStyle w:val="BodyText"/>
        <w:kinsoku w:val="0"/>
        <w:overflowPunct w:val="0"/>
        <w:spacing w:line="230" w:lineRule="auto"/>
        <w:ind w:left="117" w:right="38"/>
        <w:jc w:val="both"/>
      </w:pPr>
      <w:r>
        <w:t>Asimismo, la Red utiliza los términos «</w:t>
      </w:r>
      <w:r>
        <w:rPr>
          <w:rFonts w:ascii="GloriolaStd-MediumItalic" w:hAnsi="GloriolaStd-MediumItalic"/>
          <w:i/>
          <w:iCs/>
        </w:rPr>
        <w:t xml:space="preserve">comunidades afectadas </w:t>
      </w:r>
      <w:r>
        <w:rPr>
          <w:i/>
          <w:iCs/>
        </w:rPr>
        <w:t>por la MGF</w:t>
      </w:r>
      <w:r>
        <w:t xml:space="preserve"> y </w:t>
      </w:r>
      <w:r>
        <w:rPr>
          <w:rFonts w:ascii="GloriolaStd-MediumItalic" w:hAnsi="GloriolaStd-MediumItalic"/>
          <w:i/>
          <w:iCs/>
        </w:rPr>
        <w:t>comunidades que practican la MGF</w:t>
      </w:r>
      <w:r>
        <w:rPr>
          <w:rFonts w:ascii="GloriolaStd-LightItalic" w:hAnsi="GloriolaStd-LightItalic"/>
          <w:i/>
          <w:iCs/>
        </w:rPr>
        <w:t xml:space="preserve">». </w:t>
      </w:r>
      <w:r>
        <w:t xml:space="preserve">Ambos son aceptables y reflejan una realidad sin estigmatizar. El término </w:t>
      </w:r>
      <w:r>
        <w:rPr>
          <w:rFonts w:ascii="GloriolaStd-LightItalic" w:hAnsi="GloriolaStd-LightItalic"/>
          <w:i/>
          <w:iCs/>
        </w:rPr>
        <w:t xml:space="preserve">comunidades que practican la MGF </w:t>
      </w:r>
      <w:r>
        <w:t xml:space="preserve">es un término neutro que se emplea para caracterizar a las comunidades en las que se practica la MGF o en la que esta constituye una norma cultural. Con la expresión </w:t>
      </w:r>
      <w:r>
        <w:rPr>
          <w:rFonts w:ascii="GloriolaStd-LightItalic" w:hAnsi="GloriolaStd-LightItalic"/>
          <w:i/>
          <w:iCs/>
        </w:rPr>
        <w:t xml:space="preserve">comunidades afectadas por la MGF </w:t>
      </w:r>
      <w:r>
        <w:t xml:space="preserve">se intenta reconocer que la MGF es </w:t>
      </w:r>
      <w:r>
        <w:rPr>
          <w:rFonts w:ascii="GloriolaStd-Medium" w:hAnsi="GloriolaStd-Medium"/>
        </w:rPr>
        <w:t xml:space="preserve">perjudicial </w:t>
      </w:r>
      <w:r>
        <w:t xml:space="preserve">tanto para las personas como para las comunidades. De hecho, si bien son las mujeres y las niñas las que se ven sometidas a esta práctica, sus familiares, incluidos sus hijos, hermanos, padres y otros parientes masculinos y femeninos, pueden verse afectados psicológica y emocionalmente por el sufrimiento de aquellas, e incluso físicamente, por ejemplo, cuando la MGF altera la vida sexual de la pareja y complica el parto. Además, dado que la MGF tiene consecuencias físicas, psicológicas y emocionales de por vida en las mujeres y las niñas, con esta expresión se reconoce también que algunas comunidades pueden seguir viéndose afectadas por la MGF aun cuando hayan abandonado la práctica, es decir, incluso si han dejado de </w:t>
      </w:r>
      <w:r>
        <w:rPr>
          <w:rFonts w:ascii="GloriolaStd-LightItalic" w:hAnsi="GloriolaStd-LightItalic"/>
          <w:i/>
          <w:iCs/>
        </w:rPr>
        <w:t xml:space="preserve">practicar </w:t>
      </w:r>
      <w:r>
        <w:t xml:space="preserve">la MGF. Por consiguiente, el término </w:t>
      </w:r>
      <w:r>
        <w:rPr>
          <w:rFonts w:ascii="GloriolaStd-LightItalic" w:hAnsi="GloriolaStd-LightItalic"/>
          <w:i/>
          <w:iCs/>
        </w:rPr>
        <w:t xml:space="preserve">comunidades afectadas por la MGF </w:t>
      </w:r>
      <w:r>
        <w:rPr>
          <w:rFonts w:ascii="GloriolaStd-Medium" w:hAnsi="GloriolaStd-Medium"/>
        </w:rPr>
        <w:t xml:space="preserve">transmite una imagen y una comprensión más amplia y matizada </w:t>
      </w:r>
      <w:r>
        <w:t>de los efectos de la MGF en las comunidades.</w:t>
      </w:r>
    </w:p>
    <w:p w14:paraId="3C1DB345" w14:textId="23DB60F7" w:rsidR="00D66221" w:rsidRDefault="00D66221">
      <w:pPr>
        <w:pStyle w:val="BodyText"/>
        <w:kinsoku w:val="0"/>
        <w:overflowPunct w:val="0"/>
        <w:spacing w:before="92" w:line="230" w:lineRule="auto"/>
        <w:ind w:left="117" w:right="1414"/>
        <w:jc w:val="both"/>
      </w:pPr>
      <w:r>
        <w:br w:type="column"/>
      </w:r>
      <w:r>
        <w:rPr>
          <w:rFonts w:ascii="GloriolaStd-Medium" w:hAnsi="GloriolaStd-Medium"/>
        </w:rPr>
        <w:lastRenderedPageBreak/>
        <w:t xml:space="preserve">La terminología </w:t>
      </w:r>
      <w:r>
        <w:t>es esencial en una narrativa</w:t>
      </w:r>
      <w:r w:rsidR="00D728C0">
        <w:t xml:space="preserve"> </w:t>
      </w:r>
      <w:r w:rsidR="00670119">
        <w:rPr>
          <w:rFonts w:ascii="GloriolaStd-Medium" w:hAnsi="GloriolaStd-Medium"/>
        </w:rPr>
        <w:t>poderosa</w:t>
      </w:r>
      <w:r>
        <w:rPr>
          <w:rFonts w:ascii="GloriolaStd-Medium" w:hAnsi="GloriolaStd-Medium"/>
        </w:rPr>
        <w:t>, inclusiva y de empoderamiento y</w:t>
      </w:r>
      <w:r>
        <w:t xml:space="preserve"> debe integrarse en los discursos e informes relacionados con la promoción de los intereses de las posibles afectadas, los medios de comunicación, los políticos, los encargados de formular políticas y otros con el fin de difundir la toma de conciencia y promover el movimiento que lucha por erradicar la MGF. Para ilustrar mejor la importancia del lenguaje en el trabajo encaminado a erradicar la práctica mediante la promoción de los intereses de las posibles afectadas, la información, la sensibilización y el empoderamiento de las mujeres y de las comunidades, la Red desea también resaltar algunos ejemplos de uso de un vocabulario y unas narrativas potencialmente perjudiciales. El objetivo de las siguientes secciones es tener una comprensión más profunda de la complejidad de la MGF y promover un uso preciso de los términos en informes y discursos.</w:t>
      </w:r>
    </w:p>
    <w:p w14:paraId="5A7324A6" w14:textId="77777777" w:rsidR="00D66221" w:rsidRDefault="00D66221">
      <w:pPr>
        <w:pStyle w:val="BodyText"/>
        <w:kinsoku w:val="0"/>
        <w:overflowPunct w:val="0"/>
        <w:spacing w:before="2"/>
        <w:rPr>
          <w:sz w:val="30"/>
          <w:szCs w:val="30"/>
        </w:rPr>
      </w:pPr>
    </w:p>
    <w:p w14:paraId="0E51D231" w14:textId="77777777" w:rsidR="00D66221" w:rsidRDefault="00D66221">
      <w:pPr>
        <w:pStyle w:val="Heading2"/>
        <w:numPr>
          <w:ilvl w:val="1"/>
          <w:numId w:val="2"/>
        </w:numPr>
        <w:tabs>
          <w:tab w:val="left" w:pos="571"/>
        </w:tabs>
        <w:kinsoku w:val="0"/>
        <w:overflowPunct w:val="0"/>
        <w:ind w:hanging="453"/>
      </w:pPr>
      <w:r>
        <w:t>Narrativas precisas sobre la MGF</w:t>
      </w:r>
    </w:p>
    <w:p w14:paraId="73F96C20" w14:textId="1D9D9FE7" w:rsidR="00D66221" w:rsidRDefault="00D66221">
      <w:pPr>
        <w:pStyle w:val="BodyText"/>
        <w:kinsoku w:val="0"/>
        <w:overflowPunct w:val="0"/>
        <w:spacing w:before="125" w:line="230" w:lineRule="auto"/>
        <w:ind w:left="117" w:right="1415"/>
        <w:jc w:val="both"/>
      </w:pPr>
      <w:r>
        <w:t>En los primeros años del movimiento contra la MGF, uno de los argumentos en contra de la práctica es que no era «</w:t>
      </w:r>
      <w:r>
        <w:rPr>
          <w:rFonts w:ascii="GloriolaStd-LightItalic" w:hAnsi="GloriolaStd-LightItalic"/>
          <w:i/>
          <w:iCs/>
        </w:rPr>
        <w:t>segura»</w:t>
      </w:r>
      <w:r>
        <w:t xml:space="preserve">. Es un hecho que la MGF </w:t>
      </w:r>
      <w:r>
        <w:rPr>
          <w:rFonts w:ascii="GloriolaStd-Medium" w:hAnsi="GloriolaStd-Medium"/>
        </w:rPr>
        <w:t>no es segura</w:t>
      </w:r>
      <w:r>
        <w:t xml:space="preserve">. Tiene consecuencias físicas y psicológicas en la salud y el bienestar de las mujeres y las niñas, parte de estas causadas por la posible falta de conocimientos médicos de quien la realiza, las posibles condiciones antihigiénicas y el uso de instrumentos no esterilizados. Entre los movimientos y las comunidades que están a favor de la MGF, esta argumentación ha desencadenado una contraargumentación y una práctica centradas en las </w:t>
      </w:r>
      <w:r>
        <w:rPr>
          <w:rFonts w:ascii="GloriolaStd-LightItalic" w:hAnsi="GloriolaStd-LightItalic"/>
          <w:i/>
          <w:iCs/>
        </w:rPr>
        <w:t xml:space="preserve">condiciones sanitarias </w:t>
      </w:r>
      <w:r>
        <w:t xml:space="preserve">en las que se practica la MGF:  en su discurso, medicalizar </w:t>
      </w:r>
      <w:r>
        <w:rPr>
          <w:rFonts w:ascii="GloriolaStd-Medium" w:hAnsi="GloriolaStd-Medium"/>
        </w:rPr>
        <w:t>la MGF hace que la práctica sea «segura»</w:t>
      </w:r>
      <w:r>
        <w:t>. Esta no es una información precisa. Una MGF realizada</w:t>
      </w:r>
    </w:p>
    <w:p w14:paraId="42B60F05" w14:textId="77777777" w:rsidR="00D66221" w:rsidRDefault="00D66221">
      <w:pPr>
        <w:pStyle w:val="BodyText"/>
        <w:kinsoku w:val="0"/>
        <w:overflowPunct w:val="0"/>
        <w:spacing w:before="125" w:line="230" w:lineRule="auto"/>
        <w:ind w:left="117" w:right="1415"/>
        <w:jc w:val="both"/>
        <w:sectPr w:rsidR="00D66221">
          <w:type w:val="continuous"/>
          <w:pgSz w:w="11910" w:h="16840"/>
          <w:pgMar w:top="840" w:right="0" w:bottom="280" w:left="1300" w:header="720" w:footer="720" w:gutter="0"/>
          <w:cols w:num="2" w:space="720" w:equalWidth="0">
            <w:col w:w="4524" w:space="182"/>
            <w:col w:w="5904"/>
          </w:cols>
          <w:noEndnote/>
        </w:sectPr>
      </w:pPr>
    </w:p>
    <w:p w14:paraId="5D6B1558" w14:textId="77777777" w:rsidR="00D66221" w:rsidRDefault="00D66221">
      <w:pPr>
        <w:pStyle w:val="BodyText"/>
        <w:kinsoku w:val="0"/>
        <w:overflowPunct w:val="0"/>
      </w:pPr>
    </w:p>
    <w:p w14:paraId="701ECBB3" w14:textId="77777777" w:rsidR="00D66221" w:rsidRDefault="00D66221">
      <w:pPr>
        <w:pStyle w:val="BodyText"/>
        <w:kinsoku w:val="0"/>
        <w:overflowPunct w:val="0"/>
      </w:pPr>
    </w:p>
    <w:p w14:paraId="68798018" w14:textId="77777777" w:rsidR="00D66221" w:rsidRDefault="00D66221">
      <w:pPr>
        <w:pStyle w:val="BodyText"/>
        <w:kinsoku w:val="0"/>
        <w:overflowPunct w:val="0"/>
      </w:pPr>
    </w:p>
    <w:p w14:paraId="1834127B" w14:textId="77777777" w:rsidR="00D66221" w:rsidRDefault="00D66221">
      <w:pPr>
        <w:pStyle w:val="BodyText"/>
        <w:kinsoku w:val="0"/>
        <w:overflowPunct w:val="0"/>
      </w:pPr>
    </w:p>
    <w:p w14:paraId="20B5B288" w14:textId="77777777" w:rsidR="00D66221" w:rsidRDefault="00D66221">
      <w:pPr>
        <w:pStyle w:val="BodyText"/>
        <w:kinsoku w:val="0"/>
        <w:overflowPunct w:val="0"/>
        <w:spacing w:before="8"/>
      </w:pPr>
    </w:p>
    <w:p w14:paraId="758EC792" w14:textId="77777777" w:rsidR="00D66221" w:rsidRDefault="00D66221">
      <w:pPr>
        <w:pStyle w:val="BodyText"/>
        <w:kinsoku w:val="0"/>
        <w:overflowPunct w:val="0"/>
        <w:spacing w:before="80" w:line="223" w:lineRule="exact"/>
        <w:ind w:left="4822"/>
        <w:rPr>
          <w:color w:val="58595B"/>
          <w:sz w:val="17"/>
          <w:szCs w:val="17"/>
        </w:rPr>
      </w:pPr>
      <w:r>
        <w:rPr>
          <w:color w:val="58595B"/>
          <w:sz w:val="17"/>
          <w:szCs w:val="17"/>
        </w:rPr>
        <w:t>La Belleza sottratta (La belleza robada)</w:t>
      </w:r>
    </w:p>
    <w:p w14:paraId="018B26C7" w14:textId="77777777" w:rsidR="00D66221" w:rsidRDefault="00D66221">
      <w:pPr>
        <w:pStyle w:val="BodyText"/>
        <w:kinsoku w:val="0"/>
        <w:overflowPunct w:val="0"/>
        <w:spacing w:line="223" w:lineRule="exact"/>
        <w:ind w:left="4822"/>
        <w:rPr>
          <w:color w:val="58595B"/>
          <w:sz w:val="17"/>
          <w:szCs w:val="17"/>
        </w:rPr>
      </w:pPr>
      <w:r>
        <w:rPr>
          <w:color w:val="58595B"/>
          <w:sz w:val="17"/>
          <w:szCs w:val="17"/>
        </w:rPr>
        <w:t>© Giuseppe Matese - Septiembre de 2015 - Italia</w:t>
      </w:r>
    </w:p>
    <w:p w14:paraId="525B41C9" w14:textId="77777777" w:rsidR="00D66221" w:rsidRDefault="00D66221">
      <w:pPr>
        <w:pStyle w:val="BodyText"/>
        <w:kinsoku w:val="0"/>
        <w:overflowPunct w:val="0"/>
        <w:spacing w:line="223" w:lineRule="exact"/>
        <w:ind w:left="4822"/>
        <w:rPr>
          <w:color w:val="58595B"/>
          <w:sz w:val="17"/>
          <w:szCs w:val="17"/>
        </w:rPr>
        <w:sectPr w:rsidR="00D66221">
          <w:type w:val="continuous"/>
          <w:pgSz w:w="11910" w:h="16840"/>
          <w:pgMar w:top="840" w:right="0" w:bottom="280" w:left="1300" w:header="720" w:footer="720" w:gutter="0"/>
          <w:cols w:space="720" w:equalWidth="0">
            <w:col w:w="10610"/>
          </w:cols>
          <w:noEndnote/>
        </w:sectPr>
      </w:pPr>
    </w:p>
    <w:p w14:paraId="11F79D48" w14:textId="77777777" w:rsidR="00D66221" w:rsidRDefault="00D66221">
      <w:pPr>
        <w:pStyle w:val="BodyText"/>
        <w:kinsoku w:val="0"/>
        <w:overflowPunct w:val="0"/>
        <w:spacing w:before="8"/>
        <w:rPr>
          <w:sz w:val="16"/>
          <w:szCs w:val="16"/>
        </w:rPr>
      </w:pPr>
    </w:p>
    <w:p w14:paraId="63598941" w14:textId="1EC22C02" w:rsidR="00D66221" w:rsidRDefault="00D66221">
      <w:pPr>
        <w:pStyle w:val="BodyText"/>
        <w:kinsoku w:val="0"/>
        <w:overflowPunct w:val="0"/>
        <w:spacing w:before="84" w:line="230" w:lineRule="auto"/>
        <w:ind w:left="117" w:right="6120"/>
        <w:jc w:val="both"/>
        <w:rPr>
          <w:spacing w:val="-3"/>
        </w:rPr>
      </w:pPr>
      <w:r>
        <w:t xml:space="preserve">en un </w:t>
      </w:r>
      <w:r w:rsidR="00670119">
        <w:t>centro sanitario</w:t>
      </w:r>
      <w:r>
        <w:t xml:space="preserve"> puede ser cuando menos tan lesiva como una MGF realizada como parte de un ritual tradicional. Puede causar la muerte</w:t>
      </w:r>
      <w:r>
        <w:rPr>
          <w:sz w:val="11"/>
          <w:szCs w:val="11"/>
        </w:rPr>
        <w:t>18</w:t>
      </w:r>
      <w:r>
        <w:t>, no evita el dolor y otras consecuencias físicas de corto y largo plazos, y puede incluso causar otros daños físicos internos en los órganos genitales</w:t>
      </w:r>
      <w:r>
        <w:rPr>
          <w:sz w:val="11"/>
          <w:szCs w:val="11"/>
        </w:rPr>
        <w:t>19</w:t>
      </w:r>
      <w:r>
        <w:t>/</w:t>
      </w:r>
      <w:r>
        <w:rPr>
          <w:sz w:val="11"/>
          <w:szCs w:val="11"/>
        </w:rPr>
        <w:t>20</w:t>
      </w:r>
      <w:r>
        <w:t xml:space="preserve">. También causa traumas psicológicos a las </w:t>
      </w:r>
      <w:r w:rsidR="002A320B">
        <w:t>supervivientes</w:t>
      </w:r>
      <w:r>
        <w:t>. Por último, es ilegal que los profesionales de la salud lleven a cabo este procedimiento, ya que contraviene concretamente el principio médico de «</w:t>
      </w:r>
      <w:r>
        <w:rPr>
          <w:rFonts w:ascii="GloriolaStd-Medium" w:hAnsi="GloriolaStd-Medium"/>
        </w:rPr>
        <w:t>no hacer daño»</w:t>
      </w:r>
      <w:r>
        <w:t>.</w:t>
      </w:r>
    </w:p>
    <w:p w14:paraId="7CF361FE" w14:textId="77777777" w:rsidR="00D66221" w:rsidRDefault="00D66221">
      <w:pPr>
        <w:pStyle w:val="BodyText"/>
        <w:kinsoku w:val="0"/>
        <w:overflowPunct w:val="0"/>
      </w:pPr>
    </w:p>
    <w:p w14:paraId="2003563F" w14:textId="77777777" w:rsidR="00D66221" w:rsidRDefault="00D66221">
      <w:pPr>
        <w:pStyle w:val="BodyText"/>
        <w:kinsoku w:val="0"/>
        <w:overflowPunct w:val="0"/>
        <w:spacing w:before="7"/>
        <w:rPr>
          <w:sz w:val="28"/>
          <w:szCs w:val="28"/>
        </w:rPr>
      </w:pPr>
    </w:p>
    <w:p w14:paraId="3B1063DD" w14:textId="77777777" w:rsidR="00D66221" w:rsidRDefault="00D66221">
      <w:pPr>
        <w:pStyle w:val="BodyText"/>
        <w:kinsoku w:val="0"/>
        <w:overflowPunct w:val="0"/>
        <w:spacing w:before="7"/>
        <w:rPr>
          <w:sz w:val="28"/>
          <w:szCs w:val="28"/>
        </w:rPr>
        <w:sectPr w:rsidR="00D66221">
          <w:pgSz w:w="11910" w:h="16840"/>
          <w:pgMar w:top="1580" w:right="0" w:bottom="280" w:left="1300" w:header="720" w:footer="720" w:gutter="0"/>
          <w:cols w:space="720"/>
          <w:noEndnote/>
        </w:sectPr>
      </w:pPr>
    </w:p>
    <w:p w14:paraId="7ED3D8DE" w14:textId="77777777" w:rsidR="00D66221" w:rsidRDefault="00D66221">
      <w:pPr>
        <w:pStyle w:val="BodyText"/>
        <w:kinsoku w:val="0"/>
        <w:overflowPunct w:val="0"/>
        <w:rPr>
          <w:sz w:val="22"/>
          <w:szCs w:val="22"/>
        </w:rPr>
      </w:pPr>
    </w:p>
    <w:p w14:paraId="2033B6B5" w14:textId="77777777" w:rsidR="00D66221" w:rsidRDefault="00D66221">
      <w:pPr>
        <w:pStyle w:val="BodyText"/>
        <w:kinsoku w:val="0"/>
        <w:overflowPunct w:val="0"/>
        <w:rPr>
          <w:sz w:val="22"/>
          <w:szCs w:val="22"/>
        </w:rPr>
      </w:pPr>
    </w:p>
    <w:p w14:paraId="7AF5138B" w14:textId="77777777" w:rsidR="00D66221" w:rsidRDefault="00D66221">
      <w:pPr>
        <w:pStyle w:val="BodyText"/>
        <w:kinsoku w:val="0"/>
        <w:overflowPunct w:val="0"/>
        <w:rPr>
          <w:sz w:val="22"/>
          <w:szCs w:val="22"/>
        </w:rPr>
      </w:pPr>
    </w:p>
    <w:p w14:paraId="26FBBAE0" w14:textId="77777777" w:rsidR="00D66221" w:rsidRDefault="00D66221">
      <w:pPr>
        <w:pStyle w:val="BodyText"/>
        <w:kinsoku w:val="0"/>
        <w:overflowPunct w:val="0"/>
        <w:rPr>
          <w:sz w:val="22"/>
          <w:szCs w:val="22"/>
        </w:rPr>
      </w:pPr>
    </w:p>
    <w:p w14:paraId="223CF520" w14:textId="77777777" w:rsidR="00D66221" w:rsidRDefault="00D66221">
      <w:pPr>
        <w:pStyle w:val="BodyText"/>
        <w:kinsoku w:val="0"/>
        <w:overflowPunct w:val="0"/>
        <w:rPr>
          <w:sz w:val="22"/>
          <w:szCs w:val="22"/>
        </w:rPr>
      </w:pPr>
    </w:p>
    <w:p w14:paraId="1794869F" w14:textId="77777777" w:rsidR="00D66221" w:rsidRDefault="00D66221">
      <w:pPr>
        <w:pStyle w:val="BodyText"/>
        <w:kinsoku w:val="0"/>
        <w:overflowPunct w:val="0"/>
        <w:rPr>
          <w:sz w:val="22"/>
          <w:szCs w:val="22"/>
        </w:rPr>
      </w:pPr>
    </w:p>
    <w:p w14:paraId="37FD4BDE" w14:textId="77777777" w:rsidR="00D66221" w:rsidRDefault="00D66221">
      <w:pPr>
        <w:pStyle w:val="BodyText"/>
        <w:kinsoku w:val="0"/>
        <w:overflowPunct w:val="0"/>
        <w:rPr>
          <w:sz w:val="22"/>
          <w:szCs w:val="22"/>
        </w:rPr>
      </w:pPr>
    </w:p>
    <w:p w14:paraId="0B544FC7" w14:textId="77777777" w:rsidR="00D66221" w:rsidRDefault="00D66221">
      <w:pPr>
        <w:pStyle w:val="BodyText"/>
        <w:kinsoku w:val="0"/>
        <w:overflowPunct w:val="0"/>
        <w:rPr>
          <w:sz w:val="22"/>
          <w:szCs w:val="22"/>
        </w:rPr>
      </w:pPr>
    </w:p>
    <w:p w14:paraId="3C854DC0" w14:textId="77777777" w:rsidR="00D66221" w:rsidRDefault="00D66221">
      <w:pPr>
        <w:pStyle w:val="BodyText"/>
        <w:kinsoku w:val="0"/>
        <w:overflowPunct w:val="0"/>
        <w:rPr>
          <w:sz w:val="22"/>
          <w:szCs w:val="22"/>
        </w:rPr>
      </w:pPr>
    </w:p>
    <w:p w14:paraId="61048B06" w14:textId="77777777" w:rsidR="00D66221" w:rsidRDefault="00D66221">
      <w:pPr>
        <w:pStyle w:val="BodyText"/>
        <w:kinsoku w:val="0"/>
        <w:overflowPunct w:val="0"/>
        <w:rPr>
          <w:sz w:val="22"/>
          <w:szCs w:val="22"/>
        </w:rPr>
      </w:pPr>
    </w:p>
    <w:p w14:paraId="065661F0" w14:textId="77777777" w:rsidR="00D66221" w:rsidRDefault="00D66221">
      <w:pPr>
        <w:pStyle w:val="BodyText"/>
        <w:kinsoku w:val="0"/>
        <w:overflowPunct w:val="0"/>
        <w:rPr>
          <w:sz w:val="22"/>
          <w:szCs w:val="22"/>
        </w:rPr>
      </w:pPr>
    </w:p>
    <w:p w14:paraId="3AF7F839" w14:textId="77777777" w:rsidR="00D66221" w:rsidRDefault="00D66221">
      <w:pPr>
        <w:pStyle w:val="BodyText"/>
        <w:kinsoku w:val="0"/>
        <w:overflowPunct w:val="0"/>
        <w:rPr>
          <w:sz w:val="22"/>
          <w:szCs w:val="22"/>
        </w:rPr>
      </w:pPr>
    </w:p>
    <w:p w14:paraId="55FA79D9" w14:textId="77777777" w:rsidR="00D66221" w:rsidRDefault="00D66221">
      <w:pPr>
        <w:pStyle w:val="BodyText"/>
        <w:kinsoku w:val="0"/>
        <w:overflowPunct w:val="0"/>
        <w:rPr>
          <w:sz w:val="22"/>
          <w:szCs w:val="22"/>
        </w:rPr>
      </w:pPr>
    </w:p>
    <w:p w14:paraId="05215D31" w14:textId="77777777" w:rsidR="00D66221" w:rsidRDefault="00D66221">
      <w:pPr>
        <w:pStyle w:val="BodyText"/>
        <w:kinsoku w:val="0"/>
        <w:overflowPunct w:val="0"/>
        <w:rPr>
          <w:sz w:val="22"/>
          <w:szCs w:val="22"/>
        </w:rPr>
      </w:pPr>
    </w:p>
    <w:p w14:paraId="6C00CEBB" w14:textId="77777777" w:rsidR="00D66221" w:rsidRDefault="00D66221">
      <w:pPr>
        <w:pStyle w:val="BodyText"/>
        <w:kinsoku w:val="0"/>
        <w:overflowPunct w:val="0"/>
        <w:rPr>
          <w:sz w:val="22"/>
          <w:szCs w:val="22"/>
        </w:rPr>
      </w:pPr>
    </w:p>
    <w:p w14:paraId="7607C308" w14:textId="77777777" w:rsidR="00D66221" w:rsidRDefault="00D66221">
      <w:pPr>
        <w:pStyle w:val="BodyText"/>
        <w:kinsoku w:val="0"/>
        <w:overflowPunct w:val="0"/>
        <w:rPr>
          <w:sz w:val="22"/>
          <w:szCs w:val="22"/>
        </w:rPr>
      </w:pPr>
    </w:p>
    <w:p w14:paraId="22D207B7" w14:textId="77777777" w:rsidR="00D66221" w:rsidRDefault="00D66221">
      <w:pPr>
        <w:pStyle w:val="BodyText"/>
        <w:kinsoku w:val="0"/>
        <w:overflowPunct w:val="0"/>
        <w:rPr>
          <w:sz w:val="22"/>
          <w:szCs w:val="22"/>
        </w:rPr>
      </w:pPr>
    </w:p>
    <w:p w14:paraId="6E7EAA0E" w14:textId="77777777" w:rsidR="00D66221" w:rsidRDefault="00D66221">
      <w:pPr>
        <w:pStyle w:val="BodyText"/>
        <w:kinsoku w:val="0"/>
        <w:overflowPunct w:val="0"/>
        <w:spacing w:before="9"/>
        <w:rPr>
          <w:sz w:val="19"/>
          <w:szCs w:val="19"/>
        </w:rPr>
      </w:pPr>
    </w:p>
    <w:p w14:paraId="0C4ECC3B" w14:textId="77777777" w:rsidR="00D66221" w:rsidRPr="00D728C0" w:rsidRDefault="00D66221">
      <w:pPr>
        <w:pStyle w:val="BodyText"/>
        <w:kinsoku w:val="0"/>
        <w:overflowPunct w:val="0"/>
        <w:spacing w:line="223" w:lineRule="exact"/>
        <w:ind w:left="117"/>
        <w:rPr>
          <w:color w:val="58595B"/>
          <w:sz w:val="17"/>
          <w:szCs w:val="17"/>
          <w:lang w:val="en-US"/>
        </w:rPr>
      </w:pPr>
      <w:r w:rsidRPr="00D728C0">
        <w:rPr>
          <w:color w:val="58595B"/>
          <w:sz w:val="17"/>
          <w:szCs w:val="17"/>
          <w:lang w:val="en-US"/>
        </w:rPr>
        <w:t>The Meringue Project, Endless Beauty</w:t>
      </w:r>
    </w:p>
    <w:p w14:paraId="45FDB1B3" w14:textId="77777777" w:rsidR="00D66221" w:rsidRPr="00D728C0" w:rsidRDefault="00D66221">
      <w:pPr>
        <w:pStyle w:val="BodyText"/>
        <w:kinsoku w:val="0"/>
        <w:overflowPunct w:val="0"/>
        <w:spacing w:line="223" w:lineRule="exact"/>
        <w:ind w:left="117"/>
        <w:rPr>
          <w:color w:val="58595B"/>
          <w:sz w:val="17"/>
          <w:szCs w:val="17"/>
          <w:lang w:val="en-US"/>
        </w:rPr>
      </w:pPr>
      <w:r w:rsidRPr="00D728C0">
        <w:rPr>
          <w:color w:val="58595B"/>
          <w:sz w:val="17"/>
          <w:szCs w:val="17"/>
          <w:lang w:val="en-US"/>
        </w:rPr>
        <w:t>© Jean-Michel Voge &amp; Anna Alexis Michel – Francia</w:t>
      </w:r>
    </w:p>
    <w:p w14:paraId="3096F7B2" w14:textId="5AC0B269" w:rsidR="00D66221" w:rsidRDefault="00D66221">
      <w:pPr>
        <w:pStyle w:val="BodyText"/>
        <w:kinsoku w:val="0"/>
        <w:overflowPunct w:val="0"/>
        <w:spacing w:before="85" w:line="230" w:lineRule="auto"/>
        <w:ind w:left="117" w:right="1415"/>
        <w:jc w:val="both"/>
      </w:pPr>
      <w:r w:rsidRPr="00D728C0">
        <w:br w:type="column"/>
      </w:r>
      <w:r>
        <w:lastRenderedPageBreak/>
        <w:t xml:space="preserve">Por otro lado, se escuchan algunos argumentos, por ejemplo en el campo de la medicina y otros, que abogan por que se autorice una solución de compromiso o </w:t>
      </w:r>
      <w:r>
        <w:rPr>
          <w:rFonts w:ascii="GloriolaStd-Medium" w:hAnsi="GloriolaStd-Medium"/>
        </w:rPr>
        <w:t xml:space="preserve">alternativa </w:t>
      </w:r>
      <w:r>
        <w:t>de la MGF —propuestas que por lo general se traducen en las llamadas formas «simbólicas» de MGF que suelen corresponder al tipo 4 de la tipología de la OMS</w:t>
      </w:r>
    </w:p>
    <w:p w14:paraId="2AA92F13" w14:textId="49F4D9C3" w:rsidR="00D66221" w:rsidRDefault="00D66221">
      <w:pPr>
        <w:pStyle w:val="BodyText"/>
        <w:kinsoku w:val="0"/>
        <w:overflowPunct w:val="0"/>
        <w:spacing w:line="230" w:lineRule="auto"/>
        <w:ind w:left="117" w:right="1414"/>
        <w:jc w:val="both"/>
      </w:pPr>
      <w:r>
        <w:t>— para evitar las llamadas «peores» formas de MGF. Este argumento, que la Red Europea contra la Mutilación Genital Femenina rechaza firmemente, sugiere que los procedimientos del tipo 4 de MGF no tienen efectos a largo plazo en las mujeres y las niñas. Esta polémica también se refleja en la legislación y en los informes</w:t>
      </w:r>
      <w:r>
        <w:rPr>
          <w:sz w:val="11"/>
          <w:szCs w:val="11"/>
        </w:rPr>
        <w:t>21</w:t>
      </w:r>
      <w:r>
        <w:t xml:space="preserve">, en los que los procedimientos del tipo 4 de MGF no se consideran necesariamente una </w:t>
      </w:r>
      <w:r>
        <w:rPr>
          <w:rFonts w:ascii="GloriolaStd-LightItalic" w:hAnsi="GloriolaStd-LightItalic"/>
          <w:i/>
          <w:iCs/>
        </w:rPr>
        <w:t xml:space="preserve">«mutilación» </w:t>
      </w:r>
      <w:r>
        <w:t>en el sentido jurídico o médico del término. Este desdibujamiento aparente es también la razón por la cual recomendamos encarecidamente que</w:t>
      </w:r>
      <w:r w:rsidR="00253BB0">
        <w:t>,</w:t>
      </w:r>
      <w:r>
        <w:t xml:space="preserve"> en los informes, las investigaciones, los artículos</w:t>
      </w:r>
      <w:r>
        <w:rPr>
          <w:sz w:val="11"/>
          <w:szCs w:val="11"/>
        </w:rPr>
        <w:t>22</w:t>
      </w:r>
      <w:r>
        <w:t>, la legislación o las decisiones judiciales</w:t>
      </w:r>
      <w:r>
        <w:rPr>
          <w:sz w:val="11"/>
          <w:szCs w:val="11"/>
        </w:rPr>
        <w:t xml:space="preserve">23 </w:t>
      </w:r>
      <w:r w:rsidR="00253BB0">
        <w:t>se e</w:t>
      </w:r>
      <w:r>
        <w:t xml:space="preserve">vite una </w:t>
      </w:r>
      <w:r>
        <w:rPr>
          <w:rFonts w:ascii="GloriolaStd-Medium" w:hAnsi="GloriolaStd-Medium"/>
        </w:rPr>
        <w:t xml:space="preserve">categorización </w:t>
      </w:r>
      <w:r>
        <w:t xml:space="preserve">de la MGF que implique el establecimiento de una </w:t>
      </w:r>
      <w:r>
        <w:rPr>
          <w:rFonts w:ascii="GloriolaStd-Medium" w:hAnsi="GloriolaStd-Medium"/>
        </w:rPr>
        <w:t xml:space="preserve">jerarquía </w:t>
      </w:r>
      <w:r>
        <w:t xml:space="preserve">en los tipos de MGF según los supuestos efectos en las mujeres y las niñas. De hecho, términos como una forma de mutilación genital femenina «menor», «leve» o «más leve», «clemente» o «simbólica» son denominaciones erróneas que implican el riesgo de </w:t>
      </w:r>
      <w:r>
        <w:rPr>
          <w:rFonts w:ascii="GloriolaStd-Medium" w:hAnsi="GloriolaStd-Medium"/>
        </w:rPr>
        <w:t xml:space="preserve">menospreciar </w:t>
      </w:r>
      <w:r>
        <w:t>la salud y las necesidades psicológicas de las mujeres y las niñas afectadas. Por otra parte,</w:t>
      </w:r>
    </w:p>
    <w:p w14:paraId="377FA35A" w14:textId="77777777" w:rsidR="00D66221" w:rsidRDefault="00D66221">
      <w:pPr>
        <w:pStyle w:val="BodyText"/>
        <w:kinsoku w:val="0"/>
        <w:overflowPunct w:val="0"/>
        <w:spacing w:line="230" w:lineRule="auto"/>
        <w:ind w:left="117" w:right="1414"/>
        <w:jc w:val="both"/>
        <w:sectPr w:rsidR="00D66221">
          <w:type w:val="continuous"/>
          <w:pgSz w:w="11910" w:h="16840"/>
          <w:pgMar w:top="840" w:right="0" w:bottom="280" w:left="1300" w:header="720" w:footer="720" w:gutter="0"/>
          <w:cols w:num="2" w:space="720" w:equalWidth="0">
            <w:col w:w="3870" w:space="836"/>
            <w:col w:w="5904"/>
          </w:cols>
          <w:noEndnote/>
        </w:sectPr>
      </w:pPr>
    </w:p>
    <w:p w14:paraId="36AA770F" w14:textId="77777777" w:rsidR="00D66221" w:rsidRDefault="00D66221">
      <w:pPr>
        <w:pStyle w:val="BodyText"/>
        <w:kinsoku w:val="0"/>
        <w:overflowPunct w:val="0"/>
      </w:pPr>
    </w:p>
    <w:p w14:paraId="44A6393D" w14:textId="77777777" w:rsidR="00D66221" w:rsidRDefault="00D66221">
      <w:pPr>
        <w:pStyle w:val="BodyText"/>
        <w:kinsoku w:val="0"/>
        <w:overflowPunct w:val="0"/>
      </w:pPr>
    </w:p>
    <w:p w14:paraId="37EEBB3E" w14:textId="77777777" w:rsidR="00D66221" w:rsidRDefault="00D66221">
      <w:pPr>
        <w:pStyle w:val="BodyText"/>
        <w:kinsoku w:val="0"/>
        <w:overflowPunct w:val="0"/>
      </w:pPr>
    </w:p>
    <w:p w14:paraId="5C920A72" w14:textId="77777777" w:rsidR="00D66221" w:rsidRDefault="00D66221">
      <w:pPr>
        <w:pStyle w:val="BodyText"/>
        <w:kinsoku w:val="0"/>
        <w:overflowPunct w:val="0"/>
      </w:pPr>
    </w:p>
    <w:p w14:paraId="69A797D8" w14:textId="77777777" w:rsidR="00D66221" w:rsidRDefault="00D66221">
      <w:pPr>
        <w:pStyle w:val="BodyText"/>
        <w:kinsoku w:val="0"/>
        <w:overflowPunct w:val="0"/>
        <w:spacing w:before="12"/>
        <w:rPr>
          <w:sz w:val="21"/>
          <w:szCs w:val="21"/>
        </w:rPr>
      </w:pPr>
    </w:p>
    <w:p w14:paraId="5D7930E7" w14:textId="77777777" w:rsidR="00D66221" w:rsidRPr="00D728C0" w:rsidRDefault="00D66221">
      <w:pPr>
        <w:pStyle w:val="ListParagraph"/>
        <w:numPr>
          <w:ilvl w:val="0"/>
          <w:numId w:val="3"/>
        </w:numPr>
        <w:tabs>
          <w:tab w:val="left" w:pos="345"/>
        </w:tabs>
        <w:kinsoku w:val="0"/>
        <w:overflowPunct w:val="0"/>
        <w:spacing w:line="199" w:lineRule="auto"/>
        <w:ind w:right="1569"/>
        <w:rPr>
          <w:color w:val="58595B"/>
          <w:sz w:val="16"/>
          <w:szCs w:val="16"/>
          <w:lang w:val="en-US"/>
        </w:rPr>
      </w:pPr>
      <w:r w:rsidRPr="00D728C0">
        <w:rPr>
          <w:color w:val="58595B"/>
          <w:sz w:val="16"/>
          <w:szCs w:val="16"/>
          <w:lang w:val="en-US"/>
        </w:rPr>
        <w:t xml:space="preserve">AFP, </w:t>
      </w:r>
      <w:r w:rsidRPr="00D728C0">
        <w:rPr>
          <w:rFonts w:ascii="GloriolaStd-LightItalic" w:hAnsi="GloriolaStd-LightItalic"/>
          <w:i/>
          <w:iCs/>
          <w:color w:val="58595B"/>
          <w:sz w:val="16"/>
          <w:szCs w:val="16"/>
          <w:lang w:val="en-US"/>
        </w:rPr>
        <w:t xml:space="preserve">Egyptian girl dies during banned female genital mutilation operation, </w:t>
      </w:r>
      <w:r w:rsidRPr="00D728C0">
        <w:rPr>
          <w:color w:val="58595B"/>
          <w:sz w:val="16"/>
          <w:szCs w:val="16"/>
          <w:lang w:val="en-US"/>
        </w:rPr>
        <w:t xml:space="preserve">The Guardian, 31 de mayo de 2016 </w:t>
      </w:r>
      <w:hyperlink r:id="rId25" w:history="1">
        <w:r w:rsidRPr="00D728C0">
          <w:rPr>
            <w:color w:val="58595B"/>
            <w:sz w:val="16"/>
            <w:szCs w:val="16"/>
            <w:u w:val="single"/>
            <w:lang w:val="en-US"/>
          </w:rPr>
          <w:t>.https://www.theguardian</w:t>
        </w:r>
      </w:hyperlink>
      <w:hyperlink r:id="rId26" w:history="1">
        <w:r w:rsidRPr="00D728C0">
          <w:rPr>
            <w:color w:val="58595B"/>
            <w:sz w:val="16"/>
            <w:szCs w:val="16"/>
            <w:u w:val="single"/>
            <w:lang w:val="en-US"/>
          </w:rPr>
          <w:t xml:space="preserve"> com/world/2016/may/31/egyptian-girl-dies-during-banned-female-genital-mutilation-operation</w:t>
        </w:r>
      </w:hyperlink>
    </w:p>
    <w:p w14:paraId="0D55FC4A" w14:textId="77777777" w:rsidR="00D66221" w:rsidRDefault="00D66221">
      <w:pPr>
        <w:pStyle w:val="ListParagraph"/>
        <w:numPr>
          <w:ilvl w:val="0"/>
          <w:numId w:val="3"/>
        </w:numPr>
        <w:tabs>
          <w:tab w:val="left" w:pos="345"/>
        </w:tabs>
        <w:kinsoku w:val="0"/>
        <w:overflowPunct w:val="0"/>
        <w:spacing w:before="63" w:line="199" w:lineRule="auto"/>
        <w:ind w:right="2006"/>
        <w:rPr>
          <w:color w:val="58595B"/>
          <w:sz w:val="16"/>
          <w:szCs w:val="16"/>
        </w:rPr>
      </w:pPr>
      <w:r w:rsidRPr="00D728C0">
        <w:rPr>
          <w:color w:val="58595B"/>
          <w:sz w:val="16"/>
          <w:szCs w:val="16"/>
          <w:lang w:val="en-US"/>
        </w:rPr>
        <w:t xml:space="preserve">UNHCR, </w:t>
      </w:r>
      <w:r w:rsidRPr="00D728C0">
        <w:rPr>
          <w:rFonts w:ascii="GloriolaStd-LightItalic" w:hAnsi="GloriolaStd-LightItalic"/>
          <w:i/>
          <w:iCs/>
          <w:color w:val="58595B"/>
          <w:sz w:val="16"/>
          <w:szCs w:val="16"/>
          <w:lang w:val="en-US"/>
        </w:rPr>
        <w:t xml:space="preserve">Too Much Pain. The Voices of Refugee Women. </w:t>
      </w:r>
      <w:r>
        <w:rPr>
          <w:rFonts w:ascii="GloriolaStd-LightItalic" w:hAnsi="GloriolaStd-LightItalic"/>
          <w:i/>
          <w:iCs/>
          <w:color w:val="58595B"/>
          <w:sz w:val="16"/>
          <w:szCs w:val="16"/>
        </w:rPr>
        <w:t>Part 2.</w:t>
      </w:r>
      <w:r>
        <w:rPr>
          <w:color w:val="58595B"/>
          <w:sz w:val="16"/>
          <w:szCs w:val="16"/>
        </w:rPr>
        <w:t xml:space="preserve">, 2014 </w:t>
      </w:r>
      <w:hyperlink r:id="rId27" w:history="1">
        <w:r>
          <w:rPr>
            <w:color w:val="58595B"/>
            <w:sz w:val="16"/>
            <w:szCs w:val="16"/>
            <w:u w:val="single"/>
          </w:rPr>
          <w:t>https://www.youtube.com/watch?v=MHTx0-kCsdY</w:t>
        </w:r>
      </w:hyperlink>
      <w:r>
        <w:rPr>
          <w:color w:val="58595B"/>
          <w:sz w:val="16"/>
          <w:szCs w:val="16"/>
        </w:rPr>
        <w:t xml:space="preserve"> (Consultado el 8 de diciembre de 2016)</w:t>
      </w:r>
    </w:p>
    <w:p w14:paraId="36BC6BB7" w14:textId="77777777" w:rsidR="00D66221" w:rsidRPr="00D728C0" w:rsidRDefault="00D66221">
      <w:pPr>
        <w:pStyle w:val="ListParagraph"/>
        <w:numPr>
          <w:ilvl w:val="0"/>
          <w:numId w:val="3"/>
        </w:numPr>
        <w:tabs>
          <w:tab w:val="left" w:pos="345"/>
        </w:tabs>
        <w:kinsoku w:val="0"/>
        <w:overflowPunct w:val="0"/>
        <w:spacing w:before="30"/>
        <w:rPr>
          <w:color w:val="58595B"/>
          <w:sz w:val="16"/>
          <w:szCs w:val="16"/>
          <w:lang w:val="en-US"/>
        </w:rPr>
      </w:pPr>
      <w:r w:rsidRPr="00D728C0">
        <w:rPr>
          <w:color w:val="58595B"/>
          <w:sz w:val="16"/>
          <w:szCs w:val="16"/>
          <w:lang w:val="en-US"/>
        </w:rPr>
        <w:t xml:space="preserve">FOLDES, P. &amp; MARTZ, F., </w:t>
      </w:r>
      <w:r w:rsidRPr="00D728C0">
        <w:rPr>
          <w:rFonts w:ascii="GloriolaStd-LightItalic" w:hAnsi="GloriolaStd-LightItalic"/>
          <w:i/>
          <w:iCs/>
          <w:color w:val="58595B"/>
          <w:sz w:val="16"/>
          <w:szCs w:val="16"/>
          <w:lang w:val="en-US"/>
        </w:rPr>
        <w:t>The medicalisation of female genital mutilation</w:t>
      </w:r>
      <w:r w:rsidRPr="00D728C0">
        <w:rPr>
          <w:color w:val="58595B"/>
          <w:sz w:val="16"/>
          <w:szCs w:val="16"/>
          <w:lang w:val="en-US"/>
        </w:rPr>
        <w:t>, Forced Migration Review mini-feature, Mayo de 2015</w:t>
      </w:r>
    </w:p>
    <w:p w14:paraId="757D143C" w14:textId="77777777" w:rsidR="00D66221" w:rsidRPr="00D728C0" w:rsidRDefault="00D66221">
      <w:pPr>
        <w:pStyle w:val="ListParagraph"/>
        <w:numPr>
          <w:ilvl w:val="0"/>
          <w:numId w:val="3"/>
        </w:numPr>
        <w:tabs>
          <w:tab w:val="left" w:pos="345"/>
        </w:tabs>
        <w:kinsoku w:val="0"/>
        <w:overflowPunct w:val="0"/>
        <w:spacing w:before="50" w:line="201" w:lineRule="auto"/>
        <w:ind w:right="1528"/>
        <w:rPr>
          <w:color w:val="58595B"/>
          <w:spacing w:val="1"/>
          <w:sz w:val="16"/>
          <w:szCs w:val="16"/>
          <w:lang w:val="en-US"/>
        </w:rPr>
      </w:pPr>
      <w:r w:rsidRPr="00D728C0">
        <w:rPr>
          <w:color w:val="58595B"/>
          <w:sz w:val="16"/>
          <w:szCs w:val="16"/>
          <w:lang w:val="en-US"/>
        </w:rPr>
        <w:t xml:space="preserve">JOHNSDOTTER, S. &amp; MESTRE I MESTRE R.M., </w:t>
      </w:r>
      <w:r w:rsidRPr="00D728C0">
        <w:rPr>
          <w:rFonts w:ascii="GloriolaStd-LightItalic" w:hAnsi="GloriolaStd-LightItalic"/>
          <w:i/>
          <w:iCs/>
          <w:color w:val="58595B"/>
          <w:sz w:val="16"/>
          <w:szCs w:val="16"/>
          <w:lang w:val="en-US"/>
        </w:rPr>
        <w:t>Female genital mutilation in Europe: An analysis of court cases</w:t>
      </w:r>
      <w:r w:rsidRPr="00D728C0">
        <w:rPr>
          <w:color w:val="58595B"/>
          <w:sz w:val="16"/>
          <w:szCs w:val="16"/>
          <w:lang w:val="en-US"/>
        </w:rPr>
        <w:t xml:space="preserve">, European Commission, DG Justice, 2015 </w:t>
      </w:r>
      <w:hyperlink r:id="rId28" w:history="1">
        <w:r w:rsidRPr="00D728C0">
          <w:rPr>
            <w:color w:val="58595B"/>
            <w:sz w:val="16"/>
            <w:szCs w:val="16"/>
            <w:u w:val="single"/>
            <w:lang w:val="en-US"/>
          </w:rPr>
          <w:t>http://ec.europa.eu/justice/gender-equality/files/documents/160205_fgm_europe_enege_report_</w:t>
        </w:r>
      </w:hyperlink>
      <w:hyperlink r:id="rId29" w:history="1">
        <w:r w:rsidRPr="00D728C0">
          <w:rPr>
            <w:color w:val="58595B"/>
            <w:sz w:val="16"/>
            <w:szCs w:val="16"/>
            <w:u w:val="single"/>
            <w:lang w:val="en-US"/>
          </w:rPr>
          <w:t xml:space="preserve"> en.pdf</w:t>
        </w:r>
      </w:hyperlink>
    </w:p>
    <w:p w14:paraId="5A7E29F2" w14:textId="77777777" w:rsidR="00D66221" w:rsidRPr="00D728C0" w:rsidRDefault="00D66221">
      <w:pPr>
        <w:pStyle w:val="ListParagraph"/>
        <w:numPr>
          <w:ilvl w:val="0"/>
          <w:numId w:val="3"/>
        </w:numPr>
        <w:tabs>
          <w:tab w:val="left" w:pos="345"/>
        </w:tabs>
        <w:kinsoku w:val="0"/>
        <w:overflowPunct w:val="0"/>
        <w:spacing w:before="61" w:line="199" w:lineRule="auto"/>
        <w:ind w:right="2640"/>
        <w:rPr>
          <w:color w:val="58595B"/>
          <w:spacing w:val="1"/>
          <w:sz w:val="16"/>
          <w:szCs w:val="16"/>
          <w:lang w:val="en-US"/>
        </w:rPr>
      </w:pPr>
      <w:r w:rsidRPr="00D728C0">
        <w:rPr>
          <w:color w:val="58595B"/>
          <w:sz w:val="16"/>
          <w:szCs w:val="16"/>
          <w:lang w:val="en-US"/>
        </w:rPr>
        <w:t xml:space="preserve">The Economist, </w:t>
      </w:r>
      <w:r w:rsidRPr="00D728C0">
        <w:rPr>
          <w:rFonts w:ascii="GloriolaStd-LightItalic" w:hAnsi="GloriolaStd-LightItalic"/>
          <w:i/>
          <w:iCs/>
          <w:color w:val="58595B"/>
          <w:sz w:val="16"/>
          <w:szCs w:val="16"/>
          <w:lang w:val="en-US"/>
        </w:rPr>
        <w:t xml:space="preserve">Female genital mutilation. An agonising choice. </w:t>
      </w:r>
      <w:r w:rsidRPr="00D728C0">
        <w:rPr>
          <w:color w:val="58595B"/>
          <w:sz w:val="16"/>
          <w:szCs w:val="16"/>
          <w:lang w:val="en-US"/>
        </w:rPr>
        <w:t xml:space="preserve">18 de junio de 2016 </w:t>
      </w:r>
      <w:hyperlink r:id="rId30" w:history="1">
        <w:r w:rsidRPr="00D728C0">
          <w:rPr>
            <w:color w:val="58595B"/>
            <w:sz w:val="16"/>
            <w:szCs w:val="16"/>
            <w:u w:val="single"/>
            <w:lang w:val="en-US"/>
          </w:rPr>
          <w:t>http://www.economist.com/news/</w:t>
        </w:r>
      </w:hyperlink>
      <w:hyperlink r:id="rId31" w:history="1">
        <w:r w:rsidRPr="00D728C0">
          <w:rPr>
            <w:color w:val="58595B"/>
            <w:sz w:val="16"/>
            <w:szCs w:val="16"/>
            <w:u w:val="single"/>
            <w:lang w:val="en-US"/>
          </w:rPr>
          <w:t xml:space="preserve"> leaders/21700658-after-30-years-attempts-eradicate-barbaric-practice-it-continues-time-try-new?frsc=dg%7Ca</w:t>
        </w:r>
      </w:hyperlink>
    </w:p>
    <w:p w14:paraId="351C1556" w14:textId="77777777" w:rsidR="00D66221" w:rsidRPr="00D728C0" w:rsidRDefault="00D66221">
      <w:pPr>
        <w:pStyle w:val="ListParagraph"/>
        <w:numPr>
          <w:ilvl w:val="0"/>
          <w:numId w:val="3"/>
        </w:numPr>
        <w:tabs>
          <w:tab w:val="left" w:pos="345"/>
        </w:tabs>
        <w:kinsoku w:val="0"/>
        <w:overflowPunct w:val="0"/>
        <w:spacing w:before="30"/>
        <w:rPr>
          <w:color w:val="58595B"/>
          <w:sz w:val="16"/>
          <w:szCs w:val="16"/>
          <w:lang w:val="en-US"/>
        </w:rPr>
      </w:pPr>
      <w:r w:rsidRPr="00D728C0">
        <w:rPr>
          <w:color w:val="58595B"/>
          <w:sz w:val="16"/>
          <w:szCs w:val="16"/>
          <w:lang w:val="en-US"/>
        </w:rPr>
        <w:t xml:space="preserve">Conseil du Contentieux des Etrangers, </w:t>
      </w:r>
      <w:r w:rsidRPr="00D728C0">
        <w:rPr>
          <w:rFonts w:ascii="GloriolaStd-LightItalic" w:hAnsi="GloriolaStd-LightItalic"/>
          <w:i/>
          <w:iCs/>
          <w:color w:val="58595B"/>
          <w:sz w:val="16"/>
          <w:szCs w:val="16"/>
          <w:lang w:val="en-US"/>
        </w:rPr>
        <w:t>Arrêt n°163 942 du 11 mars 2016 dans l’affaire 153 270/V</w:t>
      </w:r>
      <w:r w:rsidRPr="00D728C0">
        <w:rPr>
          <w:color w:val="58595B"/>
          <w:sz w:val="16"/>
          <w:szCs w:val="16"/>
          <w:lang w:val="en-US"/>
        </w:rPr>
        <w:t>.</w:t>
      </w:r>
    </w:p>
    <w:p w14:paraId="116B57B7" w14:textId="77777777" w:rsidR="00D66221" w:rsidRPr="000C44AF" w:rsidRDefault="00D66221">
      <w:pPr>
        <w:pStyle w:val="ListParagraph"/>
        <w:numPr>
          <w:ilvl w:val="0"/>
          <w:numId w:val="3"/>
        </w:numPr>
        <w:tabs>
          <w:tab w:val="left" w:pos="345"/>
        </w:tabs>
        <w:kinsoku w:val="0"/>
        <w:overflowPunct w:val="0"/>
        <w:spacing w:before="30"/>
        <w:rPr>
          <w:color w:val="58595B"/>
          <w:sz w:val="16"/>
          <w:szCs w:val="16"/>
          <w:lang w:val="fr-BE"/>
        </w:rPr>
        <w:sectPr w:rsidR="00D66221" w:rsidRPr="000C44AF">
          <w:type w:val="continuous"/>
          <w:pgSz w:w="11910" w:h="16840"/>
          <w:pgMar w:top="840" w:right="0" w:bottom="280" w:left="1300" w:header="720" w:footer="720" w:gutter="0"/>
          <w:cols w:space="720" w:equalWidth="0">
            <w:col w:w="10610"/>
          </w:cols>
          <w:noEndnote/>
        </w:sectPr>
      </w:pPr>
    </w:p>
    <w:p w14:paraId="5E10C84B" w14:textId="77777777" w:rsidR="00D66221" w:rsidRPr="000C44AF" w:rsidRDefault="00D66221">
      <w:pPr>
        <w:pStyle w:val="BodyText"/>
        <w:kinsoku w:val="0"/>
        <w:overflowPunct w:val="0"/>
        <w:rPr>
          <w:sz w:val="16"/>
          <w:szCs w:val="16"/>
          <w:lang w:val="fr-BE"/>
        </w:rPr>
      </w:pPr>
    </w:p>
    <w:p w14:paraId="44E0C3A8" w14:textId="07C9DCCE" w:rsidR="00D66221" w:rsidRDefault="00D66221">
      <w:pPr>
        <w:pStyle w:val="BodyText"/>
        <w:kinsoku w:val="0"/>
        <w:overflowPunct w:val="0"/>
        <w:spacing w:before="92" w:line="230" w:lineRule="auto"/>
        <w:ind w:left="117" w:right="6120"/>
        <w:jc w:val="both"/>
      </w:pPr>
      <w:bookmarkStart w:id="7" w:name="_bookmark6"/>
      <w:bookmarkEnd w:id="7"/>
      <w:r>
        <w:t xml:space="preserve">no tiene en cuenta el </w:t>
      </w:r>
      <w:r>
        <w:rPr>
          <w:rFonts w:ascii="GloriolaStd-Medium" w:hAnsi="GloriolaStd-Medium"/>
        </w:rPr>
        <w:t xml:space="preserve">efecto traumático </w:t>
      </w:r>
      <w:r>
        <w:t xml:space="preserve">del momento, incluso si no se retira ningún tejido corporal o si no hay ninguna alteración física aparente; tampoco tiene en cuenta el </w:t>
      </w:r>
      <w:r>
        <w:rPr>
          <w:rFonts w:ascii="GloriolaStd-Medium" w:hAnsi="GloriolaStd-Medium"/>
        </w:rPr>
        <w:t xml:space="preserve">sufrimiento íntimo </w:t>
      </w:r>
      <w:r>
        <w:t xml:space="preserve">de que ser objeto de un procedimiento en los genitales o el hecho de que la práctica es una forma de discriminación y de </w:t>
      </w:r>
      <w:r>
        <w:rPr>
          <w:rFonts w:ascii="GloriolaStd-Medium" w:hAnsi="GloriolaStd-Medium"/>
        </w:rPr>
        <w:t>violencia de género</w:t>
      </w:r>
      <w:r>
        <w:t>.</w:t>
      </w:r>
    </w:p>
    <w:p w14:paraId="7DBED8C6" w14:textId="77777777" w:rsidR="00D66221" w:rsidRDefault="00D66221">
      <w:pPr>
        <w:pStyle w:val="BodyText"/>
        <w:kinsoku w:val="0"/>
        <w:overflowPunct w:val="0"/>
        <w:spacing w:before="12"/>
        <w:rPr>
          <w:sz w:val="25"/>
          <w:szCs w:val="25"/>
        </w:rPr>
      </w:pPr>
    </w:p>
    <w:p w14:paraId="1D8F0E7B" w14:textId="77777777" w:rsidR="00D66221" w:rsidRDefault="00D66221">
      <w:pPr>
        <w:pStyle w:val="BodyText"/>
        <w:kinsoku w:val="0"/>
        <w:overflowPunct w:val="0"/>
        <w:spacing w:before="12"/>
        <w:rPr>
          <w:sz w:val="25"/>
          <w:szCs w:val="25"/>
        </w:rPr>
        <w:sectPr w:rsidR="00D66221">
          <w:pgSz w:w="11910" w:h="16840"/>
          <w:pgMar w:top="1580" w:right="0" w:bottom="280" w:left="1300" w:header="720" w:footer="720" w:gutter="0"/>
          <w:cols w:space="720"/>
          <w:noEndnote/>
        </w:sectPr>
      </w:pPr>
    </w:p>
    <w:p w14:paraId="142B438D" w14:textId="77777777" w:rsidR="00D66221" w:rsidRDefault="00D66221">
      <w:pPr>
        <w:pStyle w:val="Heading2"/>
        <w:numPr>
          <w:ilvl w:val="1"/>
          <w:numId w:val="2"/>
        </w:numPr>
        <w:tabs>
          <w:tab w:val="left" w:pos="571"/>
        </w:tabs>
        <w:kinsoku w:val="0"/>
        <w:overflowPunct w:val="0"/>
        <w:spacing w:before="71"/>
        <w:ind w:hanging="453"/>
        <w:jc w:val="both"/>
      </w:pPr>
      <w:r>
        <w:lastRenderedPageBreak/>
        <w:t>Lenguaje no estigmatizador</w:t>
      </w:r>
    </w:p>
    <w:p w14:paraId="5ACB3AE8" w14:textId="1A1F1049" w:rsidR="00D66221" w:rsidRDefault="00D66221">
      <w:pPr>
        <w:pStyle w:val="BodyText"/>
        <w:kinsoku w:val="0"/>
        <w:overflowPunct w:val="0"/>
        <w:spacing w:before="126" w:line="230" w:lineRule="auto"/>
        <w:ind w:left="117" w:right="38"/>
        <w:jc w:val="both"/>
        <w:rPr>
          <w:color w:val="000000"/>
        </w:rPr>
      </w:pPr>
      <w:r>
        <w:t xml:space="preserve">Para concluir el presente documento de posición, la Red promoverá la utilización de un lenguaje </w:t>
      </w:r>
      <w:r w:rsidR="00696B1F">
        <w:t xml:space="preserve">empoderante </w:t>
      </w:r>
      <w:r>
        <w:t xml:space="preserve">y </w:t>
      </w:r>
      <w:r>
        <w:rPr>
          <w:rFonts w:ascii="GloriolaStd-Medium" w:hAnsi="GloriolaStd-Medium"/>
        </w:rPr>
        <w:t>no estigmatizador</w:t>
      </w:r>
      <w:r>
        <w:t xml:space="preserve">, especialmente en los </w:t>
      </w:r>
      <w:r>
        <w:rPr>
          <w:rFonts w:ascii="GloriolaStd-Medium" w:hAnsi="GloriolaStd-Medium"/>
        </w:rPr>
        <w:t xml:space="preserve">medios de comunicación, pero </w:t>
      </w:r>
      <w:r>
        <w:t xml:space="preserve">también entre el </w:t>
      </w:r>
      <w:r>
        <w:rPr>
          <w:rFonts w:ascii="GloriolaStd-Medium" w:hAnsi="GloriolaStd-Medium"/>
        </w:rPr>
        <w:t xml:space="preserve">público en general </w:t>
      </w:r>
      <w:r>
        <w:t xml:space="preserve">y los </w:t>
      </w:r>
      <w:r>
        <w:rPr>
          <w:rFonts w:ascii="GloriolaStd-Medium" w:hAnsi="GloriolaStd-Medium"/>
        </w:rPr>
        <w:t>profesionales</w:t>
      </w:r>
      <w:r>
        <w:t>, incluidos los profesionales de la salud y los encargados de formular políticas. Estas recomendaciones están disponibles en el módulo Medios de comunicación, escrito por la Red para la Plataforma de conocimiento basada en la web para profesionales</w:t>
      </w:r>
      <w:r w:rsidR="00253BB0">
        <w:t xml:space="preserve"> </w:t>
      </w:r>
      <w:hyperlink r:id="rId32" w:history="1">
        <w:r w:rsidR="00253BB0">
          <w:rPr>
            <w:color w:val="9A258F"/>
            <w:u w:val="single"/>
          </w:rPr>
          <w:t>U</w:t>
        </w:r>
        <w:r>
          <w:rPr>
            <w:color w:val="9A258F"/>
            <w:u w:val="single"/>
          </w:rPr>
          <w:t>nidos</w:t>
        </w:r>
      </w:hyperlink>
      <w:r>
        <w:rPr>
          <w:color w:val="9A258F"/>
        </w:rPr>
        <w:t xml:space="preserve"> </w:t>
      </w:r>
      <w:r w:rsidR="00696B1F">
        <w:rPr>
          <w:color w:val="9A258F"/>
        </w:rPr>
        <w:t xml:space="preserve">y Unidas </w:t>
      </w:r>
      <w:hyperlink r:id="rId33" w:history="1">
        <w:r>
          <w:rPr>
            <w:color w:val="9A258F"/>
            <w:u w:val="single"/>
          </w:rPr>
          <w:t>para erradicar la MGF</w:t>
        </w:r>
      </w:hyperlink>
      <w:r>
        <w:rPr>
          <w:color w:val="000000"/>
        </w:rPr>
        <w:t>, lanzada en febrero de 2017.</w:t>
      </w:r>
    </w:p>
    <w:p w14:paraId="419FC972" w14:textId="77777777" w:rsidR="00D66221" w:rsidRDefault="00D66221">
      <w:pPr>
        <w:pStyle w:val="BodyText"/>
        <w:kinsoku w:val="0"/>
        <w:overflowPunct w:val="0"/>
        <w:spacing w:before="5"/>
        <w:rPr>
          <w:sz w:val="18"/>
          <w:szCs w:val="18"/>
        </w:rPr>
      </w:pPr>
    </w:p>
    <w:p w14:paraId="29FFFB39" w14:textId="2013349A" w:rsidR="00D66221" w:rsidRDefault="00D66221">
      <w:pPr>
        <w:pStyle w:val="BodyText"/>
        <w:kinsoku w:val="0"/>
        <w:overflowPunct w:val="0"/>
        <w:spacing w:line="230" w:lineRule="auto"/>
        <w:ind w:left="117" w:right="38"/>
        <w:jc w:val="both"/>
      </w:pPr>
      <w:r>
        <w:t xml:space="preserve">Los medios de comunicación son fundamentales en la labor de sensibilización sobre los efectos de la MGF y para orientar a la opinión pública acerca de las comunidades afectadas por la MGF.  La cobertura mediática de la MGF y otras cuestiones conexas pueden influir en </w:t>
      </w:r>
      <w:r>
        <w:rPr>
          <w:rFonts w:ascii="GloriolaStd-Medium" w:hAnsi="GloriolaStd-Medium"/>
        </w:rPr>
        <w:t>la opinión pública</w:t>
      </w:r>
      <w:r>
        <w:t xml:space="preserve">, que puede tener un papel crucial en la </w:t>
      </w:r>
      <w:r>
        <w:rPr>
          <w:rFonts w:ascii="GloriolaStd-Medium" w:hAnsi="GloriolaStd-Medium"/>
        </w:rPr>
        <w:t xml:space="preserve">prevención </w:t>
      </w:r>
      <w:r>
        <w:t>gracias a una información precisa y reflexiva. La cobertura de los medios de comunicación también puede desempeñar un papel en la educación. La misma responsabilidad existe entre los encargados de formular políticas y tomar decisiones y otros actores.</w:t>
      </w:r>
    </w:p>
    <w:p w14:paraId="5C558742" w14:textId="77777777" w:rsidR="00D66221" w:rsidRDefault="00D66221">
      <w:pPr>
        <w:pStyle w:val="BodyText"/>
        <w:kinsoku w:val="0"/>
        <w:overflowPunct w:val="0"/>
        <w:spacing w:before="5"/>
        <w:rPr>
          <w:sz w:val="18"/>
          <w:szCs w:val="18"/>
        </w:rPr>
      </w:pPr>
    </w:p>
    <w:p w14:paraId="5832C8BD" w14:textId="58DDD066" w:rsidR="00D66221" w:rsidRDefault="00D66221">
      <w:pPr>
        <w:pStyle w:val="BodyText"/>
        <w:kinsoku w:val="0"/>
        <w:overflowPunct w:val="0"/>
        <w:spacing w:line="230" w:lineRule="auto"/>
        <w:ind w:left="117" w:right="38"/>
        <w:jc w:val="both"/>
      </w:pPr>
      <w:r>
        <w:t xml:space="preserve">Un artículo o informe que proyecte una imagen positiva de una sobreviviente y que también reconozca la magnitud de su sufrimiento despierta la empatía del público, eleva la conciencia y ayuda a empoderar a las </w:t>
      </w:r>
      <w:r w:rsidR="002A320B">
        <w:t>supervivientes</w:t>
      </w:r>
      <w:r>
        <w:t xml:space="preserve"> y a las comunidades para que </w:t>
      </w:r>
      <w:r>
        <w:rPr>
          <w:rFonts w:ascii="GloriolaStd-Medium" w:hAnsi="GloriolaStd-Medium"/>
        </w:rPr>
        <w:t xml:space="preserve">hablen en </w:t>
      </w:r>
      <w:r>
        <w:t xml:space="preserve">contra de la MGF. El relato es una herramienta poderosa y crucial en la humanización de las </w:t>
      </w:r>
      <w:r w:rsidR="002A320B">
        <w:t>supervivientes</w:t>
      </w:r>
      <w:r>
        <w:t xml:space="preserve">; y los </w:t>
      </w:r>
      <w:r>
        <w:rPr>
          <w:rFonts w:ascii="GloriolaStd-Medium" w:hAnsi="GloriolaStd-Medium"/>
        </w:rPr>
        <w:t>datos</w:t>
      </w:r>
      <w:r>
        <w:t>, por ejemplo, de la OMS</w:t>
      </w:r>
      <w:r>
        <w:rPr>
          <w:sz w:val="11"/>
          <w:szCs w:val="11"/>
        </w:rPr>
        <w:t xml:space="preserve">24 </w:t>
      </w:r>
      <w:r>
        <w:t xml:space="preserve">o de investigaciones, </w:t>
      </w:r>
      <w:r>
        <w:rPr>
          <w:rFonts w:ascii="GloriolaStd-Medium" w:hAnsi="GloriolaStd-Medium"/>
        </w:rPr>
        <w:t xml:space="preserve">situaciones legales </w:t>
      </w:r>
      <w:r>
        <w:t xml:space="preserve">y </w:t>
      </w:r>
      <w:r>
        <w:rPr>
          <w:rFonts w:ascii="GloriolaStd-Medium" w:hAnsi="GloriolaStd-Medium"/>
        </w:rPr>
        <w:t xml:space="preserve">asesoramientos especializados </w:t>
      </w:r>
      <w:r>
        <w:t>de la UNICEF25 aportan contexto a la violación de los derechos humanos y subrayan la necesidad de tomar nuevas medidas.</w:t>
      </w:r>
    </w:p>
    <w:p w14:paraId="2F4BEBBA" w14:textId="77777777" w:rsidR="00D66221" w:rsidRDefault="00D66221">
      <w:pPr>
        <w:pStyle w:val="BodyText"/>
        <w:kinsoku w:val="0"/>
        <w:overflowPunct w:val="0"/>
        <w:rPr>
          <w:sz w:val="22"/>
          <w:szCs w:val="22"/>
        </w:rPr>
      </w:pPr>
      <w:r>
        <w:br w:type="column"/>
      </w:r>
    </w:p>
    <w:p w14:paraId="0E9F1C16" w14:textId="77777777" w:rsidR="00D66221" w:rsidRDefault="00D66221">
      <w:pPr>
        <w:pStyle w:val="BodyText"/>
        <w:kinsoku w:val="0"/>
        <w:overflowPunct w:val="0"/>
        <w:rPr>
          <w:sz w:val="22"/>
          <w:szCs w:val="22"/>
        </w:rPr>
      </w:pPr>
    </w:p>
    <w:p w14:paraId="09051F7C" w14:textId="77777777" w:rsidR="00D66221" w:rsidRDefault="00D66221">
      <w:pPr>
        <w:pStyle w:val="BodyText"/>
        <w:kinsoku w:val="0"/>
        <w:overflowPunct w:val="0"/>
        <w:rPr>
          <w:sz w:val="22"/>
          <w:szCs w:val="22"/>
        </w:rPr>
      </w:pPr>
    </w:p>
    <w:p w14:paraId="249580F6" w14:textId="77777777" w:rsidR="00D66221" w:rsidRDefault="00D66221">
      <w:pPr>
        <w:pStyle w:val="BodyText"/>
        <w:kinsoku w:val="0"/>
        <w:overflowPunct w:val="0"/>
        <w:rPr>
          <w:sz w:val="22"/>
          <w:szCs w:val="22"/>
        </w:rPr>
      </w:pPr>
    </w:p>
    <w:p w14:paraId="16811797" w14:textId="77777777" w:rsidR="00D66221" w:rsidRDefault="00D66221">
      <w:pPr>
        <w:pStyle w:val="BodyText"/>
        <w:kinsoku w:val="0"/>
        <w:overflowPunct w:val="0"/>
        <w:rPr>
          <w:sz w:val="22"/>
          <w:szCs w:val="22"/>
        </w:rPr>
      </w:pPr>
    </w:p>
    <w:p w14:paraId="7172B480" w14:textId="77777777" w:rsidR="00D66221" w:rsidRDefault="00D66221">
      <w:pPr>
        <w:pStyle w:val="BodyText"/>
        <w:kinsoku w:val="0"/>
        <w:overflowPunct w:val="0"/>
        <w:rPr>
          <w:sz w:val="22"/>
          <w:szCs w:val="22"/>
        </w:rPr>
      </w:pPr>
    </w:p>
    <w:p w14:paraId="588378A0" w14:textId="77777777" w:rsidR="00D66221" w:rsidRDefault="00D66221">
      <w:pPr>
        <w:pStyle w:val="BodyText"/>
        <w:kinsoku w:val="0"/>
        <w:overflowPunct w:val="0"/>
        <w:rPr>
          <w:sz w:val="22"/>
          <w:szCs w:val="22"/>
        </w:rPr>
      </w:pPr>
    </w:p>
    <w:p w14:paraId="46B78225" w14:textId="77777777" w:rsidR="00D66221" w:rsidRDefault="00D66221">
      <w:pPr>
        <w:pStyle w:val="BodyText"/>
        <w:kinsoku w:val="0"/>
        <w:overflowPunct w:val="0"/>
        <w:spacing w:before="4"/>
        <w:rPr>
          <w:sz w:val="24"/>
          <w:szCs w:val="24"/>
        </w:rPr>
      </w:pPr>
    </w:p>
    <w:p w14:paraId="09088E20" w14:textId="77777777" w:rsidR="00D66221" w:rsidRPr="00D728C0" w:rsidRDefault="00D66221">
      <w:pPr>
        <w:pStyle w:val="BodyText"/>
        <w:kinsoku w:val="0"/>
        <w:overflowPunct w:val="0"/>
        <w:spacing w:line="223" w:lineRule="exact"/>
        <w:ind w:left="117"/>
        <w:rPr>
          <w:color w:val="58595B"/>
          <w:sz w:val="17"/>
          <w:szCs w:val="17"/>
          <w:lang w:val="en-US"/>
        </w:rPr>
      </w:pPr>
      <w:r w:rsidRPr="00D728C0">
        <w:rPr>
          <w:color w:val="58595B"/>
          <w:sz w:val="17"/>
          <w:szCs w:val="17"/>
          <w:lang w:val="en-US"/>
        </w:rPr>
        <w:t>This little light of mine</w:t>
      </w:r>
    </w:p>
    <w:p w14:paraId="28411C72" w14:textId="77777777" w:rsidR="00D66221" w:rsidRPr="00D728C0" w:rsidRDefault="00D66221">
      <w:pPr>
        <w:pStyle w:val="BodyText"/>
        <w:kinsoku w:val="0"/>
        <w:overflowPunct w:val="0"/>
        <w:spacing w:line="223" w:lineRule="exact"/>
        <w:ind w:left="117"/>
        <w:rPr>
          <w:color w:val="58595B"/>
          <w:sz w:val="17"/>
          <w:szCs w:val="17"/>
          <w:lang w:val="en-US"/>
        </w:rPr>
      </w:pPr>
      <w:r w:rsidRPr="00D728C0">
        <w:rPr>
          <w:color w:val="58595B"/>
          <w:sz w:val="17"/>
          <w:szCs w:val="17"/>
          <w:lang w:val="en-US"/>
        </w:rPr>
        <w:t>©Gynelle Leon – Octubre de 2015 – Reino Unido</w:t>
      </w:r>
    </w:p>
    <w:p w14:paraId="64ED0B71" w14:textId="77777777" w:rsidR="00D66221" w:rsidRPr="00D728C0" w:rsidRDefault="00D66221">
      <w:pPr>
        <w:pStyle w:val="BodyText"/>
        <w:kinsoku w:val="0"/>
        <w:overflowPunct w:val="0"/>
        <w:spacing w:before="11"/>
        <w:rPr>
          <w:sz w:val="27"/>
          <w:szCs w:val="27"/>
          <w:lang w:val="en-US"/>
        </w:rPr>
      </w:pPr>
    </w:p>
    <w:p w14:paraId="74DCD992" w14:textId="73EC64C6" w:rsidR="00D66221" w:rsidRDefault="00D66221">
      <w:pPr>
        <w:pStyle w:val="BodyText"/>
        <w:kinsoku w:val="0"/>
        <w:overflowPunct w:val="0"/>
        <w:spacing w:line="230" w:lineRule="auto"/>
        <w:ind w:left="117" w:right="1414"/>
        <w:jc w:val="both"/>
      </w:pPr>
      <w:r>
        <w:t>Por otro lado, la repugnancia o la indignación transmitida por términos a veces humillantes, impulsivos o imprecisos, tales como práctica o tradición bárbara</w:t>
      </w:r>
      <w:r>
        <w:rPr>
          <w:sz w:val="11"/>
          <w:szCs w:val="11"/>
        </w:rPr>
        <w:t>26</w:t>
      </w:r>
      <w:r>
        <w:t>, atroz, asquerosa</w:t>
      </w:r>
      <w:r>
        <w:rPr>
          <w:sz w:val="11"/>
          <w:szCs w:val="11"/>
        </w:rPr>
        <w:t>27</w:t>
      </w:r>
      <w:r>
        <w:t xml:space="preserve">, salvaje, carnicera, repugnante, perversa, horrenda, terrible o musulmana /islámica, puede alienar a las comunidades afectadas y socavar los esfuerzos encaminados a apoyar y empoderar a sus miembros a hablar en contra de la MGF. Estos términos, ya sea que se utilicen en los medios de comunicación, por el público o por los profesionales, a veces sin malas intenciones, promueven la </w:t>
      </w:r>
      <w:r>
        <w:rPr>
          <w:rFonts w:ascii="GloriolaStd-Medium" w:hAnsi="GloriolaStd-Medium"/>
        </w:rPr>
        <w:t xml:space="preserve">discriminación </w:t>
      </w:r>
      <w:r>
        <w:t>hacia las comunidades.</w:t>
      </w:r>
    </w:p>
    <w:p w14:paraId="5793A8FA" w14:textId="77777777" w:rsidR="00D66221" w:rsidRDefault="00D66221">
      <w:pPr>
        <w:pStyle w:val="BodyText"/>
        <w:kinsoku w:val="0"/>
        <w:overflowPunct w:val="0"/>
        <w:spacing w:before="2"/>
        <w:rPr>
          <w:sz w:val="18"/>
          <w:szCs w:val="18"/>
        </w:rPr>
      </w:pPr>
    </w:p>
    <w:p w14:paraId="56C6713C" w14:textId="72F98795" w:rsidR="00D66221" w:rsidRDefault="00D66221">
      <w:pPr>
        <w:pStyle w:val="BodyText"/>
        <w:kinsoku w:val="0"/>
        <w:overflowPunct w:val="0"/>
        <w:spacing w:line="230" w:lineRule="auto"/>
        <w:ind w:left="117" w:right="1415"/>
        <w:jc w:val="both"/>
      </w:pPr>
      <w:r>
        <w:t xml:space="preserve">Aunque puede ser difícil identificarse con unos padres o familiares que deseen que su hija se someta a una MGF, existen </w:t>
      </w:r>
      <w:r>
        <w:rPr>
          <w:rFonts w:ascii="GloriolaStd-Medium" w:hAnsi="GloriolaStd-Medium"/>
        </w:rPr>
        <w:t xml:space="preserve">complejas motivaciones y razones subyacentes </w:t>
      </w:r>
      <w:r>
        <w:t>detrás de la perpetuación de la práctica en las comunidades afectadas y en los países en los que se lleva a cabo. Una relación precisa de la magnitud de este problema en el mundo</w:t>
      </w:r>
      <w:r>
        <w:rPr>
          <w:sz w:val="11"/>
          <w:szCs w:val="11"/>
        </w:rPr>
        <w:t>28</w:t>
      </w:r>
      <w:r>
        <w:t>, una presentación de los pasos múltiples y diversos que se dan para dar solución a esta cuestión y una comprensión</w:t>
      </w:r>
    </w:p>
    <w:p w14:paraId="15F2F2A6" w14:textId="77777777" w:rsidR="00D66221" w:rsidRDefault="00D66221">
      <w:pPr>
        <w:pStyle w:val="BodyText"/>
        <w:kinsoku w:val="0"/>
        <w:overflowPunct w:val="0"/>
        <w:spacing w:line="230" w:lineRule="auto"/>
        <w:ind w:left="117" w:right="1415"/>
        <w:jc w:val="both"/>
        <w:sectPr w:rsidR="00D66221">
          <w:type w:val="continuous"/>
          <w:pgSz w:w="11910" w:h="16840"/>
          <w:pgMar w:top="840" w:right="0" w:bottom="280" w:left="1300" w:header="720" w:footer="720" w:gutter="0"/>
          <w:cols w:num="2" w:space="720" w:equalWidth="0">
            <w:col w:w="4524" w:space="182"/>
            <w:col w:w="5904"/>
          </w:cols>
          <w:noEndnote/>
        </w:sectPr>
      </w:pPr>
    </w:p>
    <w:p w14:paraId="24539AB4" w14:textId="77777777" w:rsidR="00D66221" w:rsidRDefault="00D66221">
      <w:pPr>
        <w:pStyle w:val="BodyText"/>
        <w:kinsoku w:val="0"/>
        <w:overflowPunct w:val="0"/>
        <w:spacing w:before="2"/>
        <w:rPr>
          <w:sz w:val="25"/>
          <w:szCs w:val="25"/>
        </w:rPr>
      </w:pPr>
    </w:p>
    <w:p w14:paraId="3662C169" w14:textId="77777777" w:rsidR="00D66221" w:rsidRDefault="00D66221">
      <w:pPr>
        <w:pStyle w:val="ListParagraph"/>
        <w:numPr>
          <w:ilvl w:val="0"/>
          <w:numId w:val="3"/>
        </w:numPr>
        <w:tabs>
          <w:tab w:val="left" w:pos="345"/>
        </w:tabs>
        <w:kinsoku w:val="0"/>
        <w:overflowPunct w:val="0"/>
        <w:spacing w:before="80" w:line="259" w:lineRule="auto"/>
        <w:ind w:left="117" w:right="1747" w:firstLine="0"/>
        <w:rPr>
          <w:color w:val="58595B"/>
          <w:spacing w:val="1"/>
          <w:sz w:val="16"/>
          <w:szCs w:val="16"/>
        </w:rPr>
      </w:pPr>
      <w:r w:rsidRPr="00D728C0">
        <w:rPr>
          <w:color w:val="58595B"/>
          <w:sz w:val="16"/>
          <w:szCs w:val="16"/>
          <w:lang w:val="en-US"/>
        </w:rPr>
        <w:t xml:space="preserve">WHO (sitio web), </w:t>
      </w:r>
      <w:r w:rsidRPr="00D728C0">
        <w:rPr>
          <w:rFonts w:ascii="GloriolaStd-LightItalic" w:hAnsi="GloriolaStd-LightItalic"/>
          <w:i/>
          <w:iCs/>
          <w:color w:val="58595B"/>
          <w:sz w:val="16"/>
          <w:szCs w:val="16"/>
          <w:lang w:val="en-US"/>
        </w:rPr>
        <w:t xml:space="preserve">Female genital mutilation. Fact sheet. </w:t>
      </w:r>
      <w:r w:rsidRPr="00D728C0">
        <w:rPr>
          <w:color w:val="58595B"/>
          <w:sz w:val="16"/>
          <w:szCs w:val="16"/>
          <w:lang w:val="en-US"/>
        </w:rPr>
        <w:t xml:space="preserve">Febrero de 2016, </w:t>
      </w:r>
      <w:hyperlink r:id="rId34" w:history="1">
        <w:r w:rsidRPr="00D728C0">
          <w:rPr>
            <w:color w:val="58595B"/>
            <w:sz w:val="16"/>
            <w:szCs w:val="16"/>
            <w:u w:val="single"/>
            <w:lang w:val="en-US"/>
          </w:rPr>
          <w:t>http://www.who.int/mediacentre/factsheets/fs241/en/</w:t>
        </w:r>
      </w:hyperlink>
      <w:r w:rsidRPr="00D728C0">
        <w:rPr>
          <w:color w:val="58595B"/>
          <w:sz w:val="16"/>
          <w:szCs w:val="16"/>
          <w:lang w:val="en-US"/>
        </w:rPr>
        <w:t xml:space="preserve"> </w:t>
      </w:r>
      <w:r w:rsidRPr="00D728C0">
        <w:rPr>
          <w:color w:val="58595B"/>
          <w:sz w:val="17"/>
          <w:szCs w:val="17"/>
          <w:lang w:val="en-US"/>
        </w:rPr>
        <w:t xml:space="preserve">25 </w:t>
      </w:r>
      <w:r w:rsidRPr="00D728C0">
        <w:rPr>
          <w:color w:val="58595B"/>
          <w:sz w:val="16"/>
          <w:szCs w:val="16"/>
          <w:lang w:val="en-US"/>
        </w:rPr>
        <w:t xml:space="preserve">UNICEF (website), </w:t>
      </w:r>
      <w:r w:rsidRPr="00D728C0">
        <w:rPr>
          <w:rFonts w:ascii="GloriolaStd-LightItalic" w:hAnsi="GloriolaStd-LightItalic"/>
          <w:i/>
          <w:iCs/>
          <w:color w:val="58595B"/>
          <w:sz w:val="16"/>
          <w:szCs w:val="16"/>
          <w:lang w:val="en-US"/>
        </w:rPr>
        <w:t xml:space="preserve">Female genital mutilation/cutting, </w:t>
      </w:r>
      <w:r w:rsidRPr="00D728C0">
        <w:rPr>
          <w:color w:val="58595B"/>
          <w:sz w:val="16"/>
          <w:szCs w:val="16"/>
          <w:lang w:val="en-US"/>
        </w:rPr>
        <w:t>Febrero de 2016</w:t>
      </w:r>
      <w:hyperlink r:id="rId35" w:history="1">
        <w:r w:rsidRPr="00D728C0">
          <w:rPr>
            <w:color w:val="58595B"/>
            <w:sz w:val="16"/>
            <w:szCs w:val="16"/>
            <w:lang w:val="en-US"/>
          </w:rPr>
          <w:t xml:space="preserve"> </w:t>
        </w:r>
        <w:r w:rsidRPr="00D728C0">
          <w:rPr>
            <w:color w:val="58595B"/>
            <w:sz w:val="16"/>
            <w:szCs w:val="16"/>
            <w:u w:val="single"/>
            <w:lang w:val="en-US"/>
          </w:rPr>
          <w:t>https://www.unicef.org/protection/57929_58002.html</w:t>
        </w:r>
      </w:hyperlink>
      <w:r w:rsidRPr="00D728C0">
        <w:rPr>
          <w:color w:val="58595B"/>
          <w:sz w:val="16"/>
          <w:szCs w:val="16"/>
          <w:lang w:val="en-US"/>
        </w:rPr>
        <w:t xml:space="preserve">  </w:t>
      </w:r>
      <w:r w:rsidRPr="00D728C0">
        <w:rPr>
          <w:color w:val="58595B"/>
          <w:sz w:val="17"/>
          <w:szCs w:val="17"/>
          <w:lang w:val="en-US"/>
        </w:rPr>
        <w:t xml:space="preserve">26 </w:t>
      </w:r>
      <w:r w:rsidRPr="00D728C0">
        <w:rPr>
          <w:color w:val="58595B"/>
          <w:sz w:val="16"/>
          <w:szCs w:val="16"/>
          <w:lang w:val="en-US"/>
        </w:rPr>
        <w:t xml:space="preserve">The Economist, </w:t>
      </w:r>
      <w:r w:rsidRPr="00D728C0">
        <w:rPr>
          <w:rFonts w:ascii="GloriolaStd-LightItalic" w:hAnsi="GloriolaStd-LightItalic"/>
          <w:i/>
          <w:iCs/>
          <w:color w:val="58595B"/>
          <w:sz w:val="16"/>
          <w:szCs w:val="16"/>
          <w:lang w:val="en-US"/>
        </w:rPr>
        <w:t xml:space="preserve">Female genital mutilation. </w:t>
      </w:r>
      <w:r>
        <w:rPr>
          <w:rFonts w:ascii="GloriolaStd-LightItalic" w:hAnsi="GloriolaStd-LightItalic"/>
          <w:i/>
          <w:iCs/>
          <w:color w:val="58595B"/>
          <w:sz w:val="16"/>
          <w:szCs w:val="16"/>
        </w:rPr>
        <w:t xml:space="preserve">An agonising choice. </w:t>
      </w:r>
      <w:r>
        <w:rPr>
          <w:color w:val="58595B"/>
          <w:sz w:val="16"/>
          <w:szCs w:val="16"/>
        </w:rPr>
        <w:t>18 de junio de 2016</w:t>
      </w:r>
      <w:hyperlink r:id="rId36" w:history="1">
        <w:r>
          <w:rPr>
            <w:color w:val="58595B"/>
            <w:sz w:val="16"/>
            <w:szCs w:val="16"/>
          </w:rPr>
          <w:t xml:space="preserve"> </w:t>
        </w:r>
        <w:r>
          <w:rPr>
            <w:color w:val="58595B"/>
            <w:sz w:val="16"/>
            <w:szCs w:val="16"/>
            <w:u w:val="single"/>
          </w:rPr>
          <w:t>http://www.economist.com/news/</w:t>
        </w:r>
      </w:hyperlink>
    </w:p>
    <w:p w14:paraId="05A2A0B4" w14:textId="77777777" w:rsidR="00D66221" w:rsidRPr="00D728C0" w:rsidRDefault="002F6241">
      <w:pPr>
        <w:pStyle w:val="BodyText"/>
        <w:kinsoku w:val="0"/>
        <w:overflowPunct w:val="0"/>
        <w:spacing w:line="169" w:lineRule="exact"/>
        <w:ind w:left="344"/>
        <w:rPr>
          <w:color w:val="58595B"/>
          <w:sz w:val="16"/>
          <w:szCs w:val="16"/>
          <w:lang w:val="en-US"/>
        </w:rPr>
      </w:pPr>
      <w:hyperlink r:id="rId37" w:history="1">
        <w:r w:rsidR="00435287" w:rsidRPr="00D728C0">
          <w:rPr>
            <w:color w:val="58595B"/>
            <w:sz w:val="16"/>
            <w:szCs w:val="16"/>
            <w:u w:val="single"/>
            <w:lang w:val="en-US"/>
          </w:rPr>
          <w:t>leaders/21700658-after-30-years-attempts-eradicate-barbaric-practice-it-continues-time-try-new?frsc=dg%7Ca</w:t>
        </w:r>
      </w:hyperlink>
    </w:p>
    <w:p w14:paraId="4AFBDEC6" w14:textId="77777777" w:rsidR="00D66221" w:rsidRPr="00D728C0" w:rsidRDefault="00D66221">
      <w:pPr>
        <w:pStyle w:val="ListParagraph"/>
        <w:numPr>
          <w:ilvl w:val="0"/>
          <w:numId w:val="1"/>
        </w:numPr>
        <w:tabs>
          <w:tab w:val="left" w:pos="345"/>
        </w:tabs>
        <w:kinsoku w:val="0"/>
        <w:overflowPunct w:val="0"/>
        <w:spacing w:before="54" w:line="199" w:lineRule="auto"/>
        <w:ind w:right="1434"/>
        <w:rPr>
          <w:color w:val="58595B"/>
          <w:sz w:val="16"/>
          <w:szCs w:val="16"/>
          <w:lang w:val="en-US"/>
        </w:rPr>
      </w:pPr>
      <w:r w:rsidRPr="00D728C0">
        <w:rPr>
          <w:color w:val="58595B"/>
          <w:sz w:val="16"/>
          <w:szCs w:val="16"/>
          <w:lang w:val="en-US"/>
        </w:rPr>
        <w:t xml:space="preserve">QUINN, T., </w:t>
      </w:r>
      <w:r w:rsidRPr="00D728C0">
        <w:rPr>
          <w:rFonts w:ascii="GloriolaStd-LightItalic" w:hAnsi="GloriolaStd-LightItalic"/>
          <w:i/>
          <w:iCs/>
          <w:color w:val="58595B"/>
          <w:sz w:val="16"/>
          <w:szCs w:val="16"/>
          <w:lang w:val="en-US"/>
        </w:rPr>
        <w:t xml:space="preserve">Gardai hunting female ‘witch doctor’ they believe carried out female genital mutilation on two-year-old girl, </w:t>
      </w:r>
      <w:r w:rsidRPr="00D728C0">
        <w:rPr>
          <w:color w:val="58595B"/>
          <w:sz w:val="16"/>
          <w:szCs w:val="16"/>
          <w:lang w:val="en-US"/>
        </w:rPr>
        <w:t xml:space="preserve">Irish Mirror,  25 de septiembre de 2016 </w:t>
      </w:r>
      <w:hyperlink r:id="rId38" w:history="1">
        <w:r w:rsidRPr="00D728C0">
          <w:rPr>
            <w:color w:val="58595B"/>
            <w:sz w:val="16"/>
            <w:szCs w:val="16"/>
            <w:u w:val="single"/>
            <w:lang w:val="en-US"/>
          </w:rPr>
          <w:t>http://www.irishmirror.ie/news/irish-news/crime/gardai-hunting-female-witch-doctor-8913332</w:t>
        </w:r>
      </w:hyperlink>
    </w:p>
    <w:p w14:paraId="3B9E3369" w14:textId="5090BEF5" w:rsidR="00D66221" w:rsidRDefault="00D66221">
      <w:pPr>
        <w:pStyle w:val="ListParagraph"/>
        <w:numPr>
          <w:ilvl w:val="0"/>
          <w:numId w:val="1"/>
        </w:numPr>
        <w:tabs>
          <w:tab w:val="left" w:pos="345"/>
        </w:tabs>
        <w:kinsoku w:val="0"/>
        <w:overflowPunct w:val="0"/>
        <w:spacing w:before="61" w:line="201" w:lineRule="auto"/>
        <w:ind w:right="1739"/>
        <w:rPr>
          <w:color w:val="58595B"/>
          <w:sz w:val="16"/>
          <w:szCs w:val="16"/>
        </w:rPr>
      </w:pPr>
      <w:r>
        <w:rPr>
          <w:color w:val="58595B"/>
          <w:sz w:val="16"/>
          <w:szCs w:val="16"/>
        </w:rPr>
        <w:t xml:space="preserve">Según las </w:t>
      </w:r>
      <w:hyperlink r:id="rId39" w:history="1">
        <w:r>
          <w:rPr>
            <w:color w:val="58595B"/>
            <w:sz w:val="16"/>
            <w:szCs w:val="16"/>
            <w:u w:val="single"/>
          </w:rPr>
          <w:t>últimas investigaciones de la UNICEF de febrero de 2016</w:t>
        </w:r>
      </w:hyperlink>
      <w:r>
        <w:rPr>
          <w:color w:val="58595B"/>
          <w:sz w:val="16"/>
          <w:szCs w:val="16"/>
        </w:rPr>
        <w:t xml:space="preserve">, al menos 200 millones de mujeres y niñas viven actualmente con las consecuencias de por vida de la MGF en todo el mundo. La tasa de prevalencia varía de manera importante de un país a otro y la práctica es más común en algunos países de África, del Oriente Medio y de Asia, pero las </w:t>
      </w:r>
      <w:r w:rsidR="002A320B">
        <w:rPr>
          <w:color w:val="58595B"/>
          <w:sz w:val="16"/>
          <w:szCs w:val="16"/>
        </w:rPr>
        <w:t>supervivientes</w:t>
      </w:r>
      <w:r>
        <w:rPr>
          <w:color w:val="58595B"/>
          <w:sz w:val="16"/>
          <w:szCs w:val="16"/>
        </w:rPr>
        <w:t xml:space="preserve"> y las mujeres y las niñas en situación de riesgo viven en todos los continentes.</w:t>
      </w:r>
    </w:p>
    <w:p w14:paraId="3F27290C" w14:textId="77777777" w:rsidR="00D66221" w:rsidRDefault="00D66221">
      <w:pPr>
        <w:pStyle w:val="ListParagraph"/>
        <w:numPr>
          <w:ilvl w:val="0"/>
          <w:numId w:val="1"/>
        </w:numPr>
        <w:tabs>
          <w:tab w:val="left" w:pos="345"/>
        </w:tabs>
        <w:kinsoku w:val="0"/>
        <w:overflowPunct w:val="0"/>
        <w:spacing w:before="61" w:line="201" w:lineRule="auto"/>
        <w:ind w:right="1739"/>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5C5E8C65" w14:textId="77777777" w:rsidR="00D66221" w:rsidRDefault="00D66221">
      <w:pPr>
        <w:pStyle w:val="BodyText"/>
        <w:kinsoku w:val="0"/>
        <w:overflowPunct w:val="0"/>
        <w:spacing w:before="8"/>
        <w:rPr>
          <w:sz w:val="16"/>
          <w:szCs w:val="16"/>
        </w:rPr>
      </w:pPr>
    </w:p>
    <w:p w14:paraId="323CF322" w14:textId="77777777" w:rsidR="00D66221" w:rsidRDefault="00D66221">
      <w:pPr>
        <w:pStyle w:val="BodyText"/>
        <w:kinsoku w:val="0"/>
        <w:overflowPunct w:val="0"/>
        <w:spacing w:before="8"/>
        <w:rPr>
          <w:sz w:val="16"/>
          <w:szCs w:val="16"/>
        </w:rPr>
        <w:sectPr w:rsidR="00D66221">
          <w:pgSz w:w="11910" w:h="16840"/>
          <w:pgMar w:top="1580" w:right="0" w:bottom="280" w:left="1300" w:header="720" w:footer="720" w:gutter="0"/>
          <w:cols w:space="720"/>
          <w:noEndnote/>
        </w:sectPr>
      </w:pPr>
    </w:p>
    <w:p w14:paraId="67481D2A" w14:textId="69D3525E" w:rsidR="00D66221" w:rsidRDefault="00D66221">
      <w:pPr>
        <w:pStyle w:val="BodyText"/>
        <w:kinsoku w:val="0"/>
        <w:overflowPunct w:val="0"/>
        <w:spacing w:before="84" w:line="230" w:lineRule="auto"/>
        <w:ind w:left="117" w:right="38"/>
        <w:jc w:val="both"/>
      </w:pPr>
      <w:r>
        <w:lastRenderedPageBreak/>
        <w:t>de la práctica ayuda a diseñar campañas de sensibilización, así como cambios de actitud y de comportamiento.</w:t>
      </w:r>
    </w:p>
    <w:p w14:paraId="5493CED7" w14:textId="77777777" w:rsidR="00D66221" w:rsidRDefault="00D66221">
      <w:pPr>
        <w:pStyle w:val="BodyText"/>
        <w:kinsoku w:val="0"/>
        <w:overflowPunct w:val="0"/>
        <w:spacing w:before="12"/>
        <w:rPr>
          <w:sz w:val="18"/>
          <w:szCs w:val="18"/>
        </w:rPr>
      </w:pPr>
    </w:p>
    <w:p w14:paraId="4572EE3D" w14:textId="3A774547" w:rsidR="00D66221" w:rsidRDefault="00D66221">
      <w:pPr>
        <w:pStyle w:val="BodyText"/>
        <w:kinsoku w:val="0"/>
        <w:overflowPunct w:val="0"/>
        <w:spacing w:before="1" w:line="230" w:lineRule="auto"/>
        <w:ind w:left="117" w:right="38"/>
        <w:jc w:val="both"/>
      </w:pPr>
      <w:r>
        <w:t xml:space="preserve">Un uso negativo, discriminatorio o impreciso del lenguaje en este contexto también sugiere un sentido </w:t>
      </w:r>
      <w:r>
        <w:rPr>
          <w:rFonts w:ascii="GloriolaStd-Medium" w:hAnsi="GloriolaStd-Medium"/>
        </w:rPr>
        <w:t xml:space="preserve">de otredad antropológica, cultural </w:t>
      </w:r>
      <w:r>
        <w:t xml:space="preserve">e incluso </w:t>
      </w:r>
      <w:r>
        <w:rPr>
          <w:rFonts w:ascii="GloriolaStd-Medium" w:hAnsi="GloriolaStd-Medium"/>
        </w:rPr>
        <w:t xml:space="preserve">geográfica </w:t>
      </w:r>
      <w:r>
        <w:t>que refuerza los estereotipos y los malentendidos. Sin embargo</w:t>
      </w:r>
      <w:r w:rsidR="00253BB0">
        <w:t>,</w:t>
      </w:r>
      <w:r>
        <w:t xml:space="preserve"> </w:t>
      </w:r>
      <w:r>
        <w:rPr>
          <w:rFonts w:ascii="GloriolaStd-Medium" w:hAnsi="GloriolaStd-Medium"/>
        </w:rPr>
        <w:t>la MGF es una cuestión humana y mundial.</w:t>
      </w:r>
      <w:r>
        <w:t xml:space="preserve"> 29. Es una forma de violencia de género contra mujeres y niñas que </w:t>
      </w:r>
      <w:r>
        <w:rPr>
          <w:rFonts w:ascii="GloriolaStd-Medium" w:hAnsi="GloriolaStd-Medium"/>
        </w:rPr>
        <w:t>preocupa a todo el planeta</w:t>
      </w:r>
      <w:r>
        <w:t>. Centrar el debate en la otredad cultural de esta práctica, pese al hecho de que la MGF es una violación de los derechos humanos, induce a errores. Socava los esfuerzos mundiales hacia su eliminación, aliena a las comunidades y opone a las sociedades, al tiempo que desvía la atención de la prevención de la práctica y de la protección y atención de las mujeres y las niñas.</w:t>
      </w:r>
    </w:p>
    <w:p w14:paraId="652A75B8" w14:textId="77777777" w:rsidR="00D66221" w:rsidRDefault="00D66221">
      <w:pPr>
        <w:pStyle w:val="BodyText"/>
        <w:kinsoku w:val="0"/>
        <w:overflowPunct w:val="0"/>
        <w:spacing w:before="12"/>
        <w:rPr>
          <w:sz w:val="17"/>
          <w:szCs w:val="17"/>
        </w:rPr>
      </w:pPr>
    </w:p>
    <w:p w14:paraId="28F312B3" w14:textId="77777777" w:rsidR="00D66221" w:rsidRDefault="00D66221">
      <w:pPr>
        <w:pStyle w:val="BodyText"/>
        <w:kinsoku w:val="0"/>
        <w:overflowPunct w:val="0"/>
        <w:spacing w:before="1" w:line="230" w:lineRule="auto"/>
        <w:ind w:left="117" w:right="38"/>
        <w:jc w:val="both"/>
      </w:pPr>
      <w:r>
        <w:t xml:space="preserve">Asimismo, una </w:t>
      </w:r>
      <w:r>
        <w:rPr>
          <w:rFonts w:ascii="GloriolaStd-Medium" w:hAnsi="GloriolaStd-Medium"/>
        </w:rPr>
        <w:t xml:space="preserve">imagen </w:t>
      </w:r>
      <w:r>
        <w:t xml:space="preserve">no debe crear o reforzar </w:t>
      </w:r>
      <w:r>
        <w:rPr>
          <w:rFonts w:ascii="GloriolaStd-Medium" w:hAnsi="GloriolaStd-Medium"/>
        </w:rPr>
        <w:t>estereotipos negativos</w:t>
      </w:r>
      <w:r>
        <w:t>. Tales concepciones a menudo expresan la idea de comunidades homogéneas, pobres, rurales y tradicionalistas que perpetúan</w:t>
      </w:r>
    </w:p>
    <w:p w14:paraId="1021245D" w14:textId="2A4D2B68" w:rsidR="00D66221" w:rsidRDefault="00D66221">
      <w:pPr>
        <w:pStyle w:val="BodyText"/>
        <w:kinsoku w:val="0"/>
        <w:overflowPunct w:val="0"/>
        <w:spacing w:before="84" w:line="230" w:lineRule="auto"/>
        <w:ind w:left="117" w:right="1415"/>
        <w:jc w:val="both"/>
      </w:pPr>
      <w:r>
        <w:br w:type="column"/>
      </w:r>
      <w:r>
        <w:lastRenderedPageBreak/>
        <w:t>prácticas atávicas, es decir, comparten una ‘única historia’</w:t>
      </w:r>
      <w:r>
        <w:rPr>
          <w:sz w:val="11"/>
          <w:szCs w:val="11"/>
        </w:rPr>
        <w:t xml:space="preserve">30 </w:t>
      </w:r>
      <w:r>
        <w:t>en las comunidades afectadas por la MGF. Debe quedar claro que la MGF cruza fronteras económicas, educativas, sociales y geográficas. Por ejemplo, no se puede afirmar que las sociedades somalí o egipcia sean homogéneas; sin embargo, la MGF es casi universal en estos países.</w:t>
      </w:r>
    </w:p>
    <w:p w14:paraId="627CB443" w14:textId="77777777" w:rsidR="00D66221" w:rsidRDefault="00D66221">
      <w:pPr>
        <w:pStyle w:val="BodyText"/>
        <w:kinsoku w:val="0"/>
        <w:overflowPunct w:val="0"/>
        <w:spacing w:before="9"/>
        <w:rPr>
          <w:sz w:val="18"/>
          <w:szCs w:val="18"/>
        </w:rPr>
      </w:pPr>
    </w:p>
    <w:p w14:paraId="651C5C2F" w14:textId="368112B8" w:rsidR="00D66221" w:rsidRDefault="00D66221">
      <w:pPr>
        <w:pStyle w:val="BodyText"/>
        <w:kinsoku w:val="0"/>
        <w:overflowPunct w:val="0"/>
        <w:spacing w:line="230" w:lineRule="auto"/>
        <w:ind w:left="117" w:right="1409"/>
        <w:jc w:val="both"/>
      </w:pPr>
      <w:r>
        <w:t xml:space="preserve">Además, los detalles gráficos o las imágenes pueden </w:t>
      </w:r>
      <w:r>
        <w:rPr>
          <w:rFonts w:ascii="GloriolaStd-Medium" w:hAnsi="GloriolaStd-Medium"/>
        </w:rPr>
        <w:t xml:space="preserve">desencadenar </w:t>
      </w:r>
      <w:r>
        <w:t xml:space="preserve">nuevos </w:t>
      </w:r>
      <w:r>
        <w:rPr>
          <w:rFonts w:ascii="GloriolaStd-Medium" w:hAnsi="GloriolaStd-Medium"/>
        </w:rPr>
        <w:t>traumas</w:t>
      </w:r>
      <w:r>
        <w:t xml:space="preserve"> y tienen un efecto debilitante, </w:t>
      </w:r>
      <w:r>
        <w:rPr>
          <w:rFonts w:ascii="GloriolaStd-Medium" w:hAnsi="GloriolaStd-Medium"/>
        </w:rPr>
        <w:t xml:space="preserve">doloroso </w:t>
      </w:r>
      <w:r>
        <w:t xml:space="preserve">o incluso pueden condenar al ostracismo a las </w:t>
      </w:r>
      <w:r w:rsidR="002A320B">
        <w:t>supervivientes</w:t>
      </w:r>
      <w:r>
        <w:t xml:space="preserve">. Por lo tanto, imágenes más o menos sensacionalistas que representan a una anciana con las manos sucias o sanguinolentas e instrumentos oxidados transmiten una ‘única historia’ y pueden desencadenar nuevos traumas y la revictimización de las </w:t>
      </w:r>
      <w:r w:rsidR="002A320B">
        <w:t>supervivientes</w:t>
      </w:r>
      <w:r>
        <w:t xml:space="preserve">. Esas imágenes centran también la atención en el perpetrador o en las condiciones sanitarias, incluso cuando se presentan informes sobre las </w:t>
      </w:r>
      <w:r w:rsidR="002A320B">
        <w:t>supervivientes</w:t>
      </w:r>
      <w:r>
        <w:t xml:space="preserve"> o la práctica en general. También aliena a las comunidades al crear un sentimiento de «otredad» cultural. Sin embargo, unas </w:t>
      </w:r>
      <w:r>
        <w:rPr>
          <w:rFonts w:ascii="GloriolaStd-Medium" w:hAnsi="GloriolaStd-Medium"/>
        </w:rPr>
        <w:t xml:space="preserve">imágenes poderosas y positivas </w:t>
      </w:r>
      <w:r>
        <w:t>como las que se presentan a lo largo de este documento</w:t>
      </w:r>
      <w:r>
        <w:rPr>
          <w:sz w:val="11"/>
          <w:szCs w:val="11"/>
        </w:rPr>
        <w:t xml:space="preserve">31 </w:t>
      </w:r>
      <w:r>
        <w:t xml:space="preserve">pueden ayudar a crear un </w:t>
      </w:r>
      <w:r>
        <w:rPr>
          <w:rFonts w:ascii="GloriolaStd-Medium" w:hAnsi="GloriolaStd-Medium"/>
        </w:rPr>
        <w:t xml:space="preserve">sentido de unidad contra la violación de los derechos humanos </w:t>
      </w:r>
      <w:r>
        <w:t>y beneficiar a las niñas y a las mujeres.</w:t>
      </w:r>
    </w:p>
    <w:p w14:paraId="0C095BDB" w14:textId="77777777" w:rsidR="00D66221" w:rsidRDefault="00D66221">
      <w:pPr>
        <w:pStyle w:val="BodyText"/>
        <w:kinsoku w:val="0"/>
        <w:overflowPunct w:val="0"/>
        <w:spacing w:line="230" w:lineRule="auto"/>
        <w:ind w:left="117" w:right="1409"/>
        <w:jc w:val="both"/>
        <w:sectPr w:rsidR="00D66221">
          <w:type w:val="continuous"/>
          <w:pgSz w:w="11910" w:h="16840"/>
          <w:pgMar w:top="840" w:right="0" w:bottom="280" w:left="1300" w:header="720" w:footer="720" w:gutter="0"/>
          <w:cols w:num="2" w:space="720" w:equalWidth="0">
            <w:col w:w="4524" w:space="182"/>
            <w:col w:w="5904"/>
          </w:cols>
          <w:noEndnote/>
        </w:sectPr>
      </w:pPr>
    </w:p>
    <w:p w14:paraId="5E159FCC" w14:textId="77777777" w:rsidR="00D66221" w:rsidRDefault="00D66221">
      <w:pPr>
        <w:pStyle w:val="BodyText"/>
        <w:kinsoku w:val="0"/>
        <w:overflowPunct w:val="0"/>
      </w:pPr>
    </w:p>
    <w:p w14:paraId="7EA03AA2" w14:textId="77777777" w:rsidR="00D66221" w:rsidRDefault="00D66221">
      <w:pPr>
        <w:pStyle w:val="BodyText"/>
        <w:kinsoku w:val="0"/>
        <w:overflowPunct w:val="0"/>
      </w:pPr>
    </w:p>
    <w:p w14:paraId="63F65DC6" w14:textId="77777777" w:rsidR="00D66221" w:rsidRDefault="00D66221">
      <w:pPr>
        <w:pStyle w:val="BodyText"/>
        <w:kinsoku w:val="0"/>
        <w:overflowPunct w:val="0"/>
      </w:pPr>
    </w:p>
    <w:p w14:paraId="7D7857C2" w14:textId="77777777" w:rsidR="00D66221" w:rsidRDefault="00D66221">
      <w:pPr>
        <w:pStyle w:val="BodyText"/>
        <w:kinsoku w:val="0"/>
        <w:overflowPunct w:val="0"/>
      </w:pPr>
    </w:p>
    <w:p w14:paraId="0CCB9DB9" w14:textId="77777777" w:rsidR="00D66221" w:rsidRDefault="00D66221">
      <w:pPr>
        <w:pStyle w:val="BodyText"/>
        <w:kinsoku w:val="0"/>
        <w:overflowPunct w:val="0"/>
      </w:pPr>
    </w:p>
    <w:p w14:paraId="7A6E7993" w14:textId="77777777" w:rsidR="00D66221" w:rsidRDefault="00D66221">
      <w:pPr>
        <w:pStyle w:val="BodyText"/>
        <w:kinsoku w:val="0"/>
        <w:overflowPunct w:val="0"/>
      </w:pPr>
    </w:p>
    <w:p w14:paraId="7B3B0585" w14:textId="77777777" w:rsidR="00D66221" w:rsidRDefault="00D66221">
      <w:pPr>
        <w:pStyle w:val="BodyText"/>
        <w:kinsoku w:val="0"/>
        <w:overflowPunct w:val="0"/>
      </w:pPr>
    </w:p>
    <w:p w14:paraId="224FA8BE" w14:textId="77777777" w:rsidR="00D66221" w:rsidRDefault="00D66221">
      <w:pPr>
        <w:pStyle w:val="BodyText"/>
        <w:kinsoku w:val="0"/>
        <w:overflowPunct w:val="0"/>
      </w:pPr>
    </w:p>
    <w:p w14:paraId="65094A60" w14:textId="77777777" w:rsidR="00D66221" w:rsidRDefault="00D66221">
      <w:pPr>
        <w:pStyle w:val="BodyText"/>
        <w:kinsoku w:val="0"/>
        <w:overflowPunct w:val="0"/>
      </w:pPr>
    </w:p>
    <w:p w14:paraId="30773E69" w14:textId="77777777" w:rsidR="00D66221" w:rsidRDefault="00D66221">
      <w:pPr>
        <w:pStyle w:val="BodyText"/>
        <w:kinsoku w:val="0"/>
        <w:overflowPunct w:val="0"/>
      </w:pPr>
    </w:p>
    <w:p w14:paraId="69A20D72" w14:textId="77777777" w:rsidR="00D66221" w:rsidRDefault="00D66221">
      <w:pPr>
        <w:pStyle w:val="BodyText"/>
        <w:kinsoku w:val="0"/>
        <w:overflowPunct w:val="0"/>
      </w:pPr>
    </w:p>
    <w:p w14:paraId="08EABD50" w14:textId="77777777" w:rsidR="00D66221" w:rsidRDefault="00D66221">
      <w:pPr>
        <w:pStyle w:val="BodyText"/>
        <w:kinsoku w:val="0"/>
        <w:overflowPunct w:val="0"/>
      </w:pPr>
    </w:p>
    <w:p w14:paraId="306D52F2" w14:textId="77777777" w:rsidR="00D66221" w:rsidRDefault="00D66221">
      <w:pPr>
        <w:pStyle w:val="BodyText"/>
        <w:kinsoku w:val="0"/>
        <w:overflowPunct w:val="0"/>
      </w:pPr>
    </w:p>
    <w:p w14:paraId="6D13E02F" w14:textId="77777777" w:rsidR="00D66221" w:rsidRDefault="00D66221">
      <w:pPr>
        <w:pStyle w:val="BodyText"/>
        <w:kinsoku w:val="0"/>
        <w:overflowPunct w:val="0"/>
      </w:pPr>
    </w:p>
    <w:p w14:paraId="2E8C55D9" w14:textId="77777777" w:rsidR="00D66221" w:rsidRDefault="00D66221">
      <w:pPr>
        <w:pStyle w:val="BodyText"/>
        <w:kinsoku w:val="0"/>
        <w:overflowPunct w:val="0"/>
      </w:pPr>
    </w:p>
    <w:p w14:paraId="58C63987" w14:textId="77777777" w:rsidR="00D66221" w:rsidRDefault="00D66221">
      <w:pPr>
        <w:pStyle w:val="BodyText"/>
        <w:kinsoku w:val="0"/>
        <w:overflowPunct w:val="0"/>
      </w:pPr>
    </w:p>
    <w:p w14:paraId="4799C5C3" w14:textId="77777777" w:rsidR="00D66221" w:rsidRDefault="00D66221">
      <w:pPr>
        <w:pStyle w:val="BodyText"/>
        <w:kinsoku w:val="0"/>
        <w:overflowPunct w:val="0"/>
      </w:pPr>
    </w:p>
    <w:p w14:paraId="71449BE2" w14:textId="77777777" w:rsidR="00D66221" w:rsidRDefault="00D66221">
      <w:pPr>
        <w:pStyle w:val="BodyText"/>
        <w:kinsoku w:val="0"/>
        <w:overflowPunct w:val="0"/>
      </w:pPr>
    </w:p>
    <w:p w14:paraId="701D2954" w14:textId="77777777" w:rsidR="00D66221" w:rsidRDefault="00D66221">
      <w:pPr>
        <w:pStyle w:val="BodyText"/>
        <w:kinsoku w:val="0"/>
        <w:overflowPunct w:val="0"/>
      </w:pPr>
    </w:p>
    <w:p w14:paraId="29C78203" w14:textId="77777777" w:rsidR="00D66221" w:rsidRDefault="00D66221">
      <w:pPr>
        <w:pStyle w:val="BodyText"/>
        <w:kinsoku w:val="0"/>
        <w:overflowPunct w:val="0"/>
        <w:spacing w:before="2"/>
        <w:rPr>
          <w:sz w:val="18"/>
          <w:szCs w:val="18"/>
        </w:rPr>
      </w:pPr>
    </w:p>
    <w:p w14:paraId="65D388BA" w14:textId="77777777" w:rsidR="00D66221" w:rsidRPr="00D728C0" w:rsidRDefault="00D66221">
      <w:pPr>
        <w:pStyle w:val="ListParagraph"/>
        <w:numPr>
          <w:ilvl w:val="0"/>
          <w:numId w:val="1"/>
        </w:numPr>
        <w:tabs>
          <w:tab w:val="left" w:pos="345"/>
        </w:tabs>
        <w:kinsoku w:val="0"/>
        <w:overflowPunct w:val="0"/>
        <w:spacing w:line="199" w:lineRule="auto"/>
        <w:ind w:right="1823"/>
        <w:rPr>
          <w:color w:val="58595B"/>
          <w:spacing w:val="1"/>
          <w:sz w:val="16"/>
          <w:szCs w:val="16"/>
          <w:lang w:val="en-US"/>
        </w:rPr>
      </w:pPr>
      <w:r w:rsidRPr="00D728C0">
        <w:rPr>
          <w:color w:val="58595B"/>
          <w:sz w:val="16"/>
          <w:szCs w:val="16"/>
          <w:lang w:val="en-US"/>
        </w:rPr>
        <w:t xml:space="preserve">European Parliament Resolution of 14 June 2012 on ending female genital mutilation </w:t>
      </w:r>
      <w:hyperlink r:id="rId40" w:history="1">
        <w:r w:rsidRPr="00D728C0">
          <w:rPr>
            <w:color w:val="58595B"/>
            <w:sz w:val="16"/>
            <w:szCs w:val="16"/>
            <w:u w:val="single"/>
            <w:lang w:val="en-US"/>
          </w:rPr>
          <w:t>http://www.europarl.europa.eu/sides/</w:t>
        </w:r>
      </w:hyperlink>
      <w:r w:rsidRPr="00D728C0">
        <w:rPr>
          <w:color w:val="58595B"/>
          <w:sz w:val="16"/>
          <w:szCs w:val="16"/>
          <w:u w:val="single"/>
          <w:lang w:val="en-US"/>
        </w:rPr>
        <w:t xml:space="preserve"> getDoc.do?pubRef=-//EP//TEXT+TA+P7-TA-2012-0261+0+DOC+XML+V0//EN</w:t>
      </w:r>
    </w:p>
    <w:p w14:paraId="7F312707" w14:textId="77777777" w:rsidR="00D66221" w:rsidRPr="00D728C0" w:rsidRDefault="00D66221">
      <w:pPr>
        <w:pStyle w:val="ListParagraph"/>
        <w:numPr>
          <w:ilvl w:val="0"/>
          <w:numId w:val="1"/>
        </w:numPr>
        <w:tabs>
          <w:tab w:val="left" w:pos="345"/>
        </w:tabs>
        <w:kinsoku w:val="0"/>
        <w:overflowPunct w:val="0"/>
        <w:spacing w:before="63" w:line="199" w:lineRule="auto"/>
        <w:ind w:right="2900"/>
        <w:rPr>
          <w:color w:val="58595B"/>
          <w:sz w:val="16"/>
          <w:szCs w:val="16"/>
          <w:lang w:val="en-US"/>
        </w:rPr>
      </w:pPr>
      <w:r w:rsidRPr="00D728C0">
        <w:rPr>
          <w:color w:val="58595B"/>
          <w:sz w:val="16"/>
          <w:szCs w:val="16"/>
          <w:lang w:val="en-US"/>
        </w:rPr>
        <w:t xml:space="preserve">ADICHIE, C., </w:t>
      </w:r>
      <w:r w:rsidRPr="00D728C0">
        <w:rPr>
          <w:rFonts w:ascii="GloriolaStd-LightItalic" w:hAnsi="GloriolaStd-LightItalic"/>
          <w:i/>
          <w:iCs/>
          <w:color w:val="58595B"/>
          <w:sz w:val="16"/>
          <w:szCs w:val="16"/>
          <w:lang w:val="en-US"/>
        </w:rPr>
        <w:t xml:space="preserve">The danger of a single story, </w:t>
      </w:r>
      <w:r w:rsidRPr="00D728C0">
        <w:rPr>
          <w:color w:val="58595B"/>
          <w:sz w:val="16"/>
          <w:szCs w:val="16"/>
          <w:lang w:val="en-US"/>
        </w:rPr>
        <w:t xml:space="preserve">Ted Talk, July 2009, Oxford (England), </w:t>
      </w:r>
      <w:hyperlink r:id="rId41" w:history="1">
        <w:r w:rsidRPr="00D728C0">
          <w:rPr>
            <w:color w:val="58595B"/>
            <w:sz w:val="16"/>
            <w:szCs w:val="16"/>
            <w:u w:val="single"/>
            <w:lang w:val="en-US"/>
          </w:rPr>
          <w:t>https://www.youtube.com/</w:t>
        </w:r>
      </w:hyperlink>
      <w:hyperlink r:id="rId42" w:history="1">
        <w:r w:rsidRPr="00D728C0">
          <w:rPr>
            <w:color w:val="58595B"/>
            <w:sz w:val="16"/>
            <w:szCs w:val="16"/>
            <w:u w:val="single"/>
            <w:lang w:val="en-US"/>
          </w:rPr>
          <w:t xml:space="preserve"> watch?v=D9Ihs241zeg</w:t>
        </w:r>
      </w:hyperlink>
    </w:p>
    <w:p w14:paraId="1BB3211F" w14:textId="77777777" w:rsidR="00D66221" w:rsidRDefault="00D66221">
      <w:pPr>
        <w:pStyle w:val="ListParagraph"/>
        <w:numPr>
          <w:ilvl w:val="0"/>
          <w:numId w:val="1"/>
        </w:numPr>
        <w:tabs>
          <w:tab w:val="left" w:pos="345"/>
        </w:tabs>
        <w:kinsoku w:val="0"/>
        <w:overflowPunct w:val="0"/>
        <w:spacing w:before="61" w:line="201" w:lineRule="auto"/>
        <w:ind w:right="1440"/>
        <w:rPr>
          <w:color w:val="58595B"/>
          <w:sz w:val="16"/>
          <w:szCs w:val="16"/>
        </w:rPr>
      </w:pPr>
      <w:r>
        <w:rPr>
          <w:color w:val="58595B"/>
          <w:sz w:val="16"/>
          <w:szCs w:val="16"/>
        </w:rPr>
        <w:t>Estas fotografías forman parte de la exposición fotográfica «</w:t>
      </w:r>
      <w:r>
        <w:rPr>
          <w:rFonts w:ascii="GloriolaStd-LightItalic" w:hAnsi="GloriolaStd-LightItalic"/>
          <w:i/>
          <w:iCs/>
          <w:color w:val="58595B"/>
          <w:sz w:val="16"/>
          <w:szCs w:val="16"/>
        </w:rPr>
        <w:t xml:space="preserve">Construyendo puentes para erradicar la MGF», </w:t>
      </w:r>
      <w:r>
        <w:rPr>
          <w:color w:val="58595B"/>
          <w:sz w:val="16"/>
          <w:szCs w:val="16"/>
        </w:rPr>
        <w:t>creada en 2015 por la Red Europea contra la Mutilación Genital Femenina gracias al apoyo de 11 fotógrafos. Su objetivo es presentar y abordar la mutilación genital femenina de manera poderosa y creativa. La exposición estará de gira por Europa en 2017.</w:t>
      </w:r>
    </w:p>
    <w:p w14:paraId="420A5331" w14:textId="77777777" w:rsidR="00D66221" w:rsidRDefault="00D66221">
      <w:pPr>
        <w:pStyle w:val="ListParagraph"/>
        <w:numPr>
          <w:ilvl w:val="0"/>
          <w:numId w:val="1"/>
        </w:numPr>
        <w:tabs>
          <w:tab w:val="left" w:pos="345"/>
        </w:tabs>
        <w:kinsoku w:val="0"/>
        <w:overflowPunct w:val="0"/>
        <w:spacing w:before="61" w:line="201" w:lineRule="auto"/>
        <w:ind w:right="1440"/>
        <w:rPr>
          <w:color w:val="58595B"/>
          <w:sz w:val="16"/>
          <w:szCs w:val="16"/>
        </w:rPr>
        <w:sectPr w:rsidR="00D66221">
          <w:type w:val="continuous"/>
          <w:pgSz w:w="11910" w:h="16840"/>
          <w:pgMar w:top="840" w:right="0" w:bottom="280" w:left="1300" w:header="720" w:footer="720" w:gutter="0"/>
          <w:cols w:space="720" w:equalWidth="0">
            <w:col w:w="10610"/>
          </w:cols>
          <w:noEndnote/>
        </w:sectPr>
      </w:pPr>
    </w:p>
    <w:p w14:paraId="212649BB" w14:textId="77777777" w:rsidR="00D66221" w:rsidRDefault="00D66221">
      <w:pPr>
        <w:pStyle w:val="BodyText"/>
        <w:kinsoku w:val="0"/>
        <w:overflowPunct w:val="0"/>
        <w:spacing w:before="3"/>
        <w:rPr>
          <w:sz w:val="8"/>
          <w:szCs w:val="8"/>
        </w:rPr>
      </w:pPr>
    </w:p>
    <w:p w14:paraId="54E756FC" w14:textId="77777777" w:rsidR="00D66221" w:rsidRDefault="00D66221">
      <w:pPr>
        <w:pStyle w:val="Heading1"/>
        <w:kinsoku w:val="0"/>
        <w:overflowPunct w:val="0"/>
        <w:rPr>
          <w:color w:val="9A258F"/>
        </w:rPr>
      </w:pPr>
      <w:bookmarkStart w:id="8" w:name="_bookmark7"/>
      <w:bookmarkEnd w:id="8"/>
      <w:r>
        <w:rPr>
          <w:color w:val="9A258F"/>
        </w:rPr>
        <w:t>Resumen</w:t>
      </w:r>
    </w:p>
    <w:p w14:paraId="4A00E966" w14:textId="77777777" w:rsidR="00D66221" w:rsidRDefault="00D66221">
      <w:pPr>
        <w:pStyle w:val="BodyText"/>
        <w:kinsoku w:val="0"/>
        <w:overflowPunct w:val="0"/>
        <w:spacing w:before="6"/>
        <w:rPr>
          <w:rFonts w:ascii="ChaletComprime-HongKongSixty" w:hAnsi="ChaletComprime-HongKongSixty" w:cs="ChaletComprime-HongKongSixty"/>
          <w:sz w:val="22"/>
          <w:szCs w:val="22"/>
        </w:rPr>
      </w:pPr>
    </w:p>
    <w:tbl>
      <w:tblPr>
        <w:tblW w:w="0" w:type="auto"/>
        <w:tblInd w:w="117" w:type="dxa"/>
        <w:tblLayout w:type="fixed"/>
        <w:tblCellMar>
          <w:left w:w="0" w:type="dxa"/>
          <w:right w:w="0" w:type="dxa"/>
        </w:tblCellMar>
        <w:tblLook w:val="0000" w:firstRow="0" w:lastRow="0" w:firstColumn="0" w:lastColumn="0" w:noHBand="0" w:noVBand="0"/>
      </w:tblPr>
      <w:tblGrid>
        <w:gridCol w:w="9071"/>
      </w:tblGrid>
      <w:tr w:rsidR="00D66221" w14:paraId="3DC53E29" w14:textId="77777777">
        <w:trPr>
          <w:trHeight w:val="313"/>
        </w:trPr>
        <w:tc>
          <w:tcPr>
            <w:tcW w:w="9071" w:type="dxa"/>
            <w:tcBorders>
              <w:top w:val="single" w:sz="4" w:space="0" w:color="9A258F"/>
              <w:left w:val="none" w:sz="6" w:space="0" w:color="auto"/>
              <w:bottom w:val="single" w:sz="4" w:space="0" w:color="9A258F"/>
              <w:right w:val="none" w:sz="6" w:space="0" w:color="auto"/>
            </w:tcBorders>
          </w:tcPr>
          <w:p w14:paraId="2006BE74" w14:textId="77777777" w:rsidR="00D66221" w:rsidRDefault="00D66221">
            <w:pPr>
              <w:pStyle w:val="TableParagraph"/>
              <w:kinsoku w:val="0"/>
              <w:overflowPunct w:val="0"/>
              <w:spacing w:before="0" w:line="284" w:lineRule="exact"/>
              <w:rPr>
                <w:rFonts w:ascii="ChaletComprime-HongKongSixty" w:hAnsi="ChaletComprime-HongKongSixty" w:cs="ChaletComprime-HongKongSixty"/>
                <w:sz w:val="26"/>
                <w:szCs w:val="26"/>
              </w:rPr>
            </w:pPr>
            <w:r>
              <w:rPr>
                <w:rFonts w:ascii="ChaletComprime-HongKongSixty" w:hAnsi="ChaletComprime-HongKongSixty"/>
                <w:sz w:val="26"/>
                <w:szCs w:val="26"/>
              </w:rPr>
              <w:t>Terminología de la MGF</w:t>
            </w:r>
          </w:p>
        </w:tc>
      </w:tr>
      <w:tr w:rsidR="00D66221" w14:paraId="31864397" w14:textId="77777777">
        <w:trPr>
          <w:trHeight w:val="3201"/>
        </w:trPr>
        <w:tc>
          <w:tcPr>
            <w:tcW w:w="9071" w:type="dxa"/>
            <w:tcBorders>
              <w:top w:val="single" w:sz="4" w:space="0" w:color="9A258F"/>
              <w:left w:val="none" w:sz="6" w:space="0" w:color="auto"/>
              <w:bottom w:val="single" w:sz="4" w:space="0" w:color="9A258F"/>
              <w:right w:val="none" w:sz="6" w:space="0" w:color="auto"/>
            </w:tcBorders>
          </w:tcPr>
          <w:p w14:paraId="52EE7273"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En todo el mundo se emplean muchos términos para hablar o escribir sobre la mutilación genital femenina.</w:t>
            </w:r>
          </w:p>
          <w:p w14:paraId="20A99187"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Hay términos específicos para las distintas formas de MGF.</w:t>
            </w:r>
          </w:p>
          <w:p w14:paraId="2440A32A" w14:textId="77777777" w:rsidR="00D66221" w:rsidRDefault="00D66221">
            <w:pPr>
              <w:pStyle w:val="TableParagraph"/>
              <w:kinsoku w:val="0"/>
              <w:overflowPunct w:val="0"/>
              <w:spacing w:before="32"/>
              <w:rPr>
                <w:color w:val="000000"/>
                <w:sz w:val="20"/>
                <w:szCs w:val="20"/>
              </w:rPr>
            </w:pPr>
            <w:r>
              <w:rPr>
                <w:rFonts w:ascii="FFDingbats" w:hAnsi="FFDingbats"/>
                <w:color w:val="9A258F"/>
                <w:sz w:val="20"/>
                <w:szCs w:val="20"/>
              </w:rPr>
              <w:t>33</w:t>
            </w:r>
            <w:r>
              <w:rPr>
                <w:color w:val="000000"/>
                <w:sz w:val="20"/>
                <w:szCs w:val="20"/>
              </w:rPr>
              <w:t>El término MGF es una manifestación del consenso internacional en contra de la práctica.</w:t>
            </w:r>
          </w:p>
          <w:p w14:paraId="5EC041CC" w14:textId="741B0597" w:rsidR="00D66221" w:rsidRDefault="00D66221">
            <w:pPr>
              <w:pStyle w:val="TableParagraph"/>
              <w:kinsoku w:val="0"/>
              <w:overflowPunct w:val="0"/>
              <w:spacing w:before="42" w:line="230" w:lineRule="auto"/>
              <w:ind w:left="226" w:hanging="227"/>
              <w:rPr>
                <w:color w:val="000000"/>
                <w:sz w:val="20"/>
                <w:szCs w:val="20"/>
              </w:rPr>
            </w:pPr>
            <w:r>
              <w:rPr>
                <w:rFonts w:ascii="FFDingbats" w:hAnsi="FFDingbats"/>
                <w:color w:val="9A258F"/>
                <w:sz w:val="20"/>
                <w:szCs w:val="20"/>
              </w:rPr>
              <w:t>33</w:t>
            </w:r>
            <w:r>
              <w:rPr>
                <w:color w:val="000000"/>
                <w:sz w:val="20"/>
                <w:szCs w:val="20"/>
              </w:rPr>
              <w:t>El término MGF representa un instrumento a la vez de sensibilización y de promoción de los intereses de las posibles afectadas, así como una herramienta de empoderamiento y autogestión.</w:t>
            </w:r>
          </w:p>
          <w:p w14:paraId="10A90A27" w14:textId="77777777" w:rsidR="00D66221" w:rsidRDefault="00D66221">
            <w:pPr>
              <w:pStyle w:val="TableParagraph"/>
              <w:kinsoku w:val="0"/>
              <w:overflowPunct w:val="0"/>
              <w:spacing w:before="43" w:line="230" w:lineRule="auto"/>
              <w:ind w:left="226" w:hanging="227"/>
              <w:rPr>
                <w:color w:val="000000"/>
                <w:sz w:val="20"/>
                <w:szCs w:val="20"/>
              </w:rPr>
            </w:pPr>
            <w:r>
              <w:rPr>
                <w:rFonts w:ascii="FFDingbats" w:hAnsi="FFDingbats"/>
                <w:color w:val="9A258F"/>
                <w:sz w:val="20"/>
                <w:szCs w:val="20"/>
              </w:rPr>
              <w:t>33</w:t>
            </w:r>
            <w:r>
              <w:rPr>
                <w:color w:val="000000"/>
                <w:sz w:val="20"/>
                <w:szCs w:val="20"/>
              </w:rPr>
              <w:t>El término MGF expresa que la práctica es una forma de maltrato infantil, una violencia contra las mujeres y las niñas, una violación de los derechos humanos y una manifestación de la desigualdad de género.</w:t>
            </w:r>
          </w:p>
          <w:p w14:paraId="3FF721E1" w14:textId="77777777" w:rsidR="00D66221" w:rsidRDefault="00D66221">
            <w:pPr>
              <w:pStyle w:val="TableParagraph"/>
              <w:kinsoku w:val="0"/>
              <w:overflowPunct w:val="0"/>
              <w:spacing w:before="43" w:line="230" w:lineRule="auto"/>
              <w:ind w:left="226" w:hanging="227"/>
              <w:rPr>
                <w:color w:val="000000"/>
                <w:sz w:val="20"/>
                <w:szCs w:val="20"/>
              </w:rPr>
            </w:pPr>
            <w:r>
              <w:rPr>
                <w:rFonts w:ascii="FFDingbats" w:hAnsi="FFDingbats"/>
                <w:color w:val="9A258F"/>
                <w:sz w:val="20"/>
                <w:szCs w:val="20"/>
              </w:rPr>
              <w:t>33</w:t>
            </w:r>
            <w:r>
              <w:rPr>
                <w:color w:val="000000"/>
                <w:sz w:val="20"/>
                <w:szCs w:val="20"/>
              </w:rPr>
              <w:t>Para evitar la alienación, se aplica un uso contextual de la terminología cuando se trabaja directamente con las comunidades afectadas y en el interior de ellas.</w:t>
            </w:r>
          </w:p>
          <w:p w14:paraId="06DB98EC" w14:textId="10B7F111" w:rsidR="00D66221" w:rsidRDefault="00D66221">
            <w:pPr>
              <w:pStyle w:val="TableParagraph"/>
              <w:kinsoku w:val="0"/>
              <w:overflowPunct w:val="0"/>
              <w:spacing w:before="34"/>
              <w:rPr>
                <w:color w:val="000000"/>
                <w:sz w:val="20"/>
                <w:szCs w:val="20"/>
              </w:rPr>
            </w:pPr>
            <w:r>
              <w:rPr>
                <w:rFonts w:ascii="FFDingbats" w:hAnsi="FFDingbats"/>
                <w:color w:val="9A258F"/>
                <w:sz w:val="20"/>
                <w:szCs w:val="20"/>
              </w:rPr>
              <w:t>33</w:t>
            </w:r>
            <w:r>
              <w:rPr>
                <w:color w:val="000000"/>
                <w:sz w:val="20"/>
                <w:szCs w:val="20"/>
              </w:rPr>
              <w:t xml:space="preserve">Se debe preguntar a las </w:t>
            </w:r>
            <w:r w:rsidR="002A320B">
              <w:rPr>
                <w:color w:val="000000"/>
                <w:sz w:val="20"/>
                <w:szCs w:val="20"/>
              </w:rPr>
              <w:t>supervivientes</w:t>
            </w:r>
            <w:r>
              <w:rPr>
                <w:color w:val="000000"/>
                <w:sz w:val="20"/>
                <w:szCs w:val="20"/>
              </w:rPr>
              <w:t xml:space="preserve"> o a las comunidades afectadas qué término utilizan o prefieren.</w:t>
            </w:r>
          </w:p>
        </w:tc>
      </w:tr>
      <w:tr w:rsidR="00D66221" w14:paraId="3AF9E079" w14:textId="77777777">
        <w:trPr>
          <w:trHeight w:val="313"/>
        </w:trPr>
        <w:tc>
          <w:tcPr>
            <w:tcW w:w="9071" w:type="dxa"/>
            <w:tcBorders>
              <w:top w:val="single" w:sz="4" w:space="0" w:color="9A258F"/>
              <w:left w:val="none" w:sz="6" w:space="0" w:color="auto"/>
              <w:bottom w:val="single" w:sz="4" w:space="0" w:color="9A258F"/>
              <w:right w:val="none" w:sz="6" w:space="0" w:color="auto"/>
            </w:tcBorders>
          </w:tcPr>
          <w:p w14:paraId="06DBD7FE" w14:textId="77777777" w:rsidR="00D66221" w:rsidRDefault="00D66221">
            <w:pPr>
              <w:pStyle w:val="TableParagraph"/>
              <w:kinsoku w:val="0"/>
              <w:overflowPunct w:val="0"/>
              <w:spacing w:before="0" w:line="284" w:lineRule="exact"/>
              <w:rPr>
                <w:rFonts w:ascii="ChaletComprime-HongKongSixty" w:hAnsi="ChaletComprime-HongKongSixty" w:cs="ChaletComprime-HongKongSixty"/>
                <w:sz w:val="26"/>
                <w:szCs w:val="26"/>
              </w:rPr>
            </w:pPr>
            <w:r>
              <w:rPr>
                <w:rFonts w:ascii="ChaletComprime-HongKongSixty" w:hAnsi="ChaletComprime-HongKongSixty"/>
                <w:sz w:val="26"/>
                <w:szCs w:val="26"/>
              </w:rPr>
              <w:t>Terminología del empoderamiento</w:t>
            </w:r>
          </w:p>
        </w:tc>
      </w:tr>
      <w:tr w:rsidR="00D66221" w14:paraId="1F65C303" w14:textId="77777777">
        <w:trPr>
          <w:trHeight w:val="1932"/>
        </w:trPr>
        <w:tc>
          <w:tcPr>
            <w:tcW w:w="9071" w:type="dxa"/>
            <w:tcBorders>
              <w:top w:val="single" w:sz="4" w:space="0" w:color="9A258F"/>
              <w:left w:val="none" w:sz="6" w:space="0" w:color="auto"/>
              <w:bottom w:val="single" w:sz="4" w:space="0" w:color="9A258F"/>
              <w:right w:val="none" w:sz="6" w:space="0" w:color="auto"/>
            </w:tcBorders>
          </w:tcPr>
          <w:p w14:paraId="1F255A73" w14:textId="77777777" w:rsidR="00D66221" w:rsidRDefault="00D66221">
            <w:pPr>
              <w:pStyle w:val="TableParagraph"/>
              <w:kinsoku w:val="0"/>
              <w:overflowPunct w:val="0"/>
              <w:spacing w:before="42" w:line="230" w:lineRule="auto"/>
              <w:ind w:left="226" w:hanging="227"/>
              <w:rPr>
                <w:color w:val="000000"/>
                <w:sz w:val="20"/>
                <w:szCs w:val="20"/>
              </w:rPr>
            </w:pPr>
            <w:r>
              <w:rPr>
                <w:rFonts w:ascii="FFDingbats" w:hAnsi="FFDingbats"/>
                <w:color w:val="9A258F"/>
                <w:sz w:val="20"/>
                <w:szCs w:val="20"/>
              </w:rPr>
              <w:t>33</w:t>
            </w:r>
            <w:r>
              <w:rPr>
                <w:color w:val="000000"/>
                <w:sz w:val="20"/>
                <w:szCs w:val="20"/>
              </w:rPr>
              <w:t xml:space="preserve">Adoptar el uso del término </w:t>
            </w:r>
            <w:r>
              <w:rPr>
                <w:rFonts w:ascii="GloriolaStd-LightItalic" w:hAnsi="GloriolaStd-LightItalic"/>
                <w:i/>
                <w:iCs/>
                <w:color w:val="000000"/>
                <w:sz w:val="20"/>
                <w:szCs w:val="20"/>
              </w:rPr>
              <w:t xml:space="preserve">sobreviviente </w:t>
            </w:r>
            <w:r>
              <w:rPr>
                <w:color w:val="000000"/>
                <w:sz w:val="20"/>
                <w:szCs w:val="20"/>
              </w:rPr>
              <w:t xml:space="preserve">en lugar de </w:t>
            </w:r>
            <w:r>
              <w:rPr>
                <w:rFonts w:ascii="GloriolaStd-LightItalic" w:hAnsi="GloriolaStd-LightItalic"/>
                <w:i/>
                <w:iCs/>
                <w:color w:val="000000"/>
                <w:sz w:val="20"/>
                <w:szCs w:val="20"/>
              </w:rPr>
              <w:t xml:space="preserve">víctima </w:t>
            </w:r>
            <w:r>
              <w:rPr>
                <w:color w:val="000000"/>
                <w:sz w:val="20"/>
                <w:szCs w:val="20"/>
              </w:rPr>
              <w:t>cuando corresponda como un elemento de empoderamiento del lenguaje.</w:t>
            </w:r>
          </w:p>
          <w:p w14:paraId="770BB51B" w14:textId="77777777" w:rsidR="00D66221" w:rsidRDefault="00D66221">
            <w:pPr>
              <w:pStyle w:val="TableParagraph"/>
              <w:kinsoku w:val="0"/>
              <w:overflowPunct w:val="0"/>
              <w:spacing w:before="34"/>
              <w:rPr>
                <w:color w:val="000000"/>
                <w:sz w:val="20"/>
                <w:szCs w:val="20"/>
              </w:rPr>
            </w:pPr>
            <w:r>
              <w:rPr>
                <w:rFonts w:ascii="FFDingbats" w:hAnsi="FFDingbats"/>
                <w:color w:val="9A258F"/>
                <w:sz w:val="20"/>
                <w:szCs w:val="20"/>
              </w:rPr>
              <w:t>33</w:t>
            </w:r>
            <w:r>
              <w:rPr>
                <w:color w:val="000000"/>
                <w:sz w:val="20"/>
                <w:szCs w:val="20"/>
              </w:rPr>
              <w:t>Se debe preguntar a la mujer o a la niña qué término prefiere utilizar.</w:t>
            </w:r>
          </w:p>
          <w:p w14:paraId="172FCA04" w14:textId="77777777" w:rsidR="00D66221" w:rsidRDefault="00D66221">
            <w:pPr>
              <w:pStyle w:val="TableParagraph"/>
              <w:kinsoku w:val="0"/>
              <w:overflowPunct w:val="0"/>
              <w:spacing w:before="42" w:line="230" w:lineRule="auto"/>
              <w:ind w:left="226" w:hanging="227"/>
              <w:rPr>
                <w:color w:val="000000"/>
                <w:sz w:val="20"/>
                <w:szCs w:val="20"/>
              </w:rPr>
            </w:pPr>
            <w:r>
              <w:rPr>
                <w:rFonts w:ascii="FFDingbats" w:hAnsi="FFDingbats"/>
                <w:color w:val="9A258F"/>
                <w:sz w:val="20"/>
                <w:szCs w:val="20"/>
              </w:rPr>
              <w:t>33</w:t>
            </w:r>
            <w:r>
              <w:rPr>
                <w:color w:val="000000"/>
                <w:sz w:val="20"/>
                <w:szCs w:val="20"/>
              </w:rPr>
              <w:t xml:space="preserve">El término </w:t>
            </w:r>
            <w:r>
              <w:rPr>
                <w:rFonts w:ascii="GloriolaStd-LightItalic" w:hAnsi="GloriolaStd-LightItalic"/>
                <w:i/>
                <w:iCs/>
                <w:color w:val="000000"/>
                <w:sz w:val="20"/>
                <w:szCs w:val="20"/>
              </w:rPr>
              <w:t xml:space="preserve">comunidades afectadas por la MGF </w:t>
            </w:r>
            <w:r>
              <w:rPr>
                <w:color w:val="000000"/>
                <w:sz w:val="20"/>
                <w:szCs w:val="20"/>
              </w:rPr>
              <w:t xml:space="preserve">transmite una imagen más amplia y matizada y una comprensión de los efectos de la MGF en las comunidades más neutra y descriptiva que </w:t>
            </w:r>
            <w:r>
              <w:rPr>
                <w:rFonts w:ascii="GloriolaStd-LightItalic" w:hAnsi="GloriolaStd-LightItalic"/>
                <w:i/>
                <w:iCs/>
                <w:color w:val="000000"/>
                <w:sz w:val="20"/>
                <w:szCs w:val="20"/>
              </w:rPr>
              <w:t xml:space="preserve">comunidades que practican la </w:t>
            </w:r>
            <w:r>
              <w:rPr>
                <w:color w:val="000000"/>
                <w:sz w:val="20"/>
                <w:szCs w:val="20"/>
              </w:rPr>
              <w:t>MGF.</w:t>
            </w:r>
          </w:p>
        </w:tc>
      </w:tr>
      <w:tr w:rsidR="00D66221" w14:paraId="2A197671" w14:textId="77777777">
        <w:trPr>
          <w:trHeight w:val="313"/>
        </w:trPr>
        <w:tc>
          <w:tcPr>
            <w:tcW w:w="9071" w:type="dxa"/>
            <w:tcBorders>
              <w:top w:val="single" w:sz="4" w:space="0" w:color="9A258F"/>
              <w:left w:val="none" w:sz="6" w:space="0" w:color="auto"/>
              <w:bottom w:val="single" w:sz="4" w:space="0" w:color="9A258F"/>
              <w:right w:val="none" w:sz="6" w:space="0" w:color="auto"/>
            </w:tcBorders>
          </w:tcPr>
          <w:p w14:paraId="1DF70F7A" w14:textId="77777777" w:rsidR="00D66221" w:rsidRDefault="00D66221">
            <w:pPr>
              <w:pStyle w:val="TableParagraph"/>
              <w:kinsoku w:val="0"/>
              <w:overflowPunct w:val="0"/>
              <w:spacing w:before="0" w:line="284" w:lineRule="exact"/>
              <w:rPr>
                <w:rFonts w:ascii="ChaletComprime-HongKongSixty" w:hAnsi="ChaletComprime-HongKongSixty" w:cs="ChaletComprime-HongKongSixty"/>
                <w:sz w:val="26"/>
                <w:szCs w:val="26"/>
              </w:rPr>
            </w:pPr>
            <w:r>
              <w:rPr>
                <w:rFonts w:ascii="ChaletComprime-HongKongSixty" w:hAnsi="ChaletComprime-HongKongSixty"/>
                <w:sz w:val="26"/>
                <w:szCs w:val="26"/>
              </w:rPr>
              <w:t>Precisión</w:t>
            </w:r>
          </w:p>
        </w:tc>
      </w:tr>
      <w:tr w:rsidR="00D66221" w14:paraId="1C9529ED" w14:textId="77777777">
        <w:trPr>
          <w:trHeight w:val="1751"/>
        </w:trPr>
        <w:tc>
          <w:tcPr>
            <w:tcW w:w="9071" w:type="dxa"/>
            <w:tcBorders>
              <w:top w:val="single" w:sz="4" w:space="0" w:color="9A258F"/>
              <w:left w:val="none" w:sz="6" w:space="0" w:color="auto"/>
              <w:bottom w:val="single" w:sz="4" w:space="0" w:color="9A258F"/>
              <w:right w:val="none" w:sz="6" w:space="0" w:color="auto"/>
            </w:tcBorders>
          </w:tcPr>
          <w:p w14:paraId="2DE18C97" w14:textId="2DB833D0"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Todas las formas de MGF son física, emocional y psicológicamente perjudiciales y deben prohibirse.</w:t>
            </w:r>
          </w:p>
          <w:p w14:paraId="40DB57E5"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La MGF no tiene beneficios para la salud.</w:t>
            </w:r>
          </w:p>
          <w:p w14:paraId="39C7BA44" w14:textId="77777777" w:rsidR="00D66221" w:rsidRDefault="00D66221">
            <w:pPr>
              <w:pStyle w:val="TableParagraph"/>
              <w:kinsoku w:val="0"/>
              <w:overflowPunct w:val="0"/>
              <w:spacing w:before="32"/>
              <w:rPr>
                <w:color w:val="000000"/>
                <w:sz w:val="20"/>
                <w:szCs w:val="20"/>
              </w:rPr>
            </w:pPr>
            <w:r>
              <w:rPr>
                <w:rFonts w:ascii="FFDingbats" w:hAnsi="FFDingbats"/>
                <w:color w:val="9A258F"/>
                <w:sz w:val="20"/>
                <w:szCs w:val="20"/>
              </w:rPr>
              <w:t>33</w:t>
            </w:r>
            <w:r>
              <w:rPr>
                <w:color w:val="000000"/>
                <w:sz w:val="20"/>
                <w:szCs w:val="20"/>
              </w:rPr>
              <w:t>Un procedimiento medicalizado de MGF es al menos tan perjudicial como uno tradicional.</w:t>
            </w:r>
          </w:p>
          <w:p w14:paraId="3E41A6E2"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Las soluciones de compromiso que se han sugerido con respecto a la MGF pasan por alto los efectos adversos de ciertos tipos de MGF en las mujeres y las niñas.</w:t>
            </w:r>
          </w:p>
          <w:p w14:paraId="77AC0051"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Es necesario prohibir el uso de eufemismos para referirse a ciertos tipos de MGF.</w:t>
            </w:r>
          </w:p>
        </w:tc>
      </w:tr>
      <w:tr w:rsidR="00D66221" w14:paraId="4B7801F8" w14:textId="77777777">
        <w:trPr>
          <w:trHeight w:val="313"/>
        </w:trPr>
        <w:tc>
          <w:tcPr>
            <w:tcW w:w="9071" w:type="dxa"/>
            <w:tcBorders>
              <w:top w:val="single" w:sz="4" w:space="0" w:color="9A258F"/>
              <w:left w:val="none" w:sz="6" w:space="0" w:color="auto"/>
              <w:bottom w:val="single" w:sz="4" w:space="0" w:color="9A258F"/>
              <w:right w:val="none" w:sz="6" w:space="0" w:color="auto"/>
            </w:tcBorders>
          </w:tcPr>
          <w:p w14:paraId="21761E60" w14:textId="77777777" w:rsidR="00D66221" w:rsidRDefault="00D66221">
            <w:pPr>
              <w:pStyle w:val="TableParagraph"/>
              <w:kinsoku w:val="0"/>
              <w:overflowPunct w:val="0"/>
              <w:spacing w:before="0" w:line="284" w:lineRule="exact"/>
              <w:rPr>
                <w:rFonts w:ascii="ChaletComprime-HongKongSixty" w:hAnsi="ChaletComprime-HongKongSixty" w:cs="ChaletComprime-HongKongSixty"/>
                <w:sz w:val="26"/>
                <w:szCs w:val="26"/>
              </w:rPr>
            </w:pPr>
            <w:r>
              <w:rPr>
                <w:rFonts w:ascii="ChaletComprime-HongKongSixty" w:hAnsi="ChaletComprime-HongKongSixty"/>
                <w:sz w:val="26"/>
                <w:szCs w:val="26"/>
              </w:rPr>
              <w:t>Sensibilidad y no estigmatización</w:t>
            </w:r>
          </w:p>
        </w:tc>
      </w:tr>
      <w:tr w:rsidR="00D66221" w14:paraId="5CDE4D36" w14:textId="77777777">
        <w:trPr>
          <w:trHeight w:val="3971"/>
        </w:trPr>
        <w:tc>
          <w:tcPr>
            <w:tcW w:w="9071" w:type="dxa"/>
            <w:tcBorders>
              <w:top w:val="single" w:sz="4" w:space="0" w:color="9A258F"/>
              <w:left w:val="none" w:sz="6" w:space="0" w:color="auto"/>
              <w:bottom w:val="none" w:sz="6" w:space="0" w:color="auto"/>
              <w:right w:val="none" w:sz="6" w:space="0" w:color="auto"/>
            </w:tcBorders>
          </w:tcPr>
          <w:p w14:paraId="55F070AB" w14:textId="77777777"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Presentar y utilizar la información precisa sobre la complejidad de la cuestión de la MGF.</w:t>
            </w:r>
          </w:p>
          <w:p w14:paraId="041F2757" w14:textId="7BA7D2F1" w:rsidR="00D66221" w:rsidRDefault="00D66221">
            <w:pPr>
              <w:pStyle w:val="TableParagraph"/>
              <w:kinsoku w:val="0"/>
              <w:overflowPunct w:val="0"/>
              <w:rPr>
                <w:color w:val="000000"/>
                <w:sz w:val="20"/>
                <w:szCs w:val="20"/>
              </w:rPr>
            </w:pPr>
            <w:r>
              <w:rPr>
                <w:rFonts w:ascii="FFDingbats" w:hAnsi="FFDingbats"/>
                <w:color w:val="9A258F"/>
                <w:sz w:val="20"/>
                <w:szCs w:val="20"/>
              </w:rPr>
              <w:t>33</w:t>
            </w:r>
            <w:r>
              <w:rPr>
                <w:color w:val="000000"/>
                <w:sz w:val="20"/>
                <w:szCs w:val="20"/>
              </w:rPr>
              <w:t xml:space="preserve">Evitar la objetivización de las </w:t>
            </w:r>
            <w:r w:rsidR="002A320B">
              <w:rPr>
                <w:color w:val="000000"/>
                <w:sz w:val="20"/>
                <w:szCs w:val="20"/>
              </w:rPr>
              <w:t>supervivientes</w:t>
            </w:r>
            <w:r>
              <w:rPr>
                <w:color w:val="000000"/>
                <w:sz w:val="20"/>
                <w:szCs w:val="20"/>
              </w:rPr>
              <w:t xml:space="preserve"> como víctimas pasivas.</w:t>
            </w:r>
          </w:p>
          <w:p w14:paraId="3A34F891" w14:textId="77777777" w:rsidR="00D66221" w:rsidRDefault="00D66221">
            <w:pPr>
              <w:pStyle w:val="TableParagraph"/>
              <w:kinsoku w:val="0"/>
              <w:overflowPunct w:val="0"/>
              <w:spacing w:before="41" w:line="230" w:lineRule="auto"/>
              <w:ind w:left="226" w:hanging="227"/>
              <w:rPr>
                <w:color w:val="000000"/>
                <w:sz w:val="20"/>
                <w:szCs w:val="20"/>
              </w:rPr>
            </w:pPr>
            <w:r>
              <w:rPr>
                <w:rFonts w:ascii="FFDingbats" w:hAnsi="FFDingbats"/>
                <w:color w:val="9A258F"/>
                <w:sz w:val="20"/>
                <w:szCs w:val="20"/>
              </w:rPr>
              <w:t>33</w:t>
            </w:r>
            <w:r>
              <w:rPr>
                <w:color w:val="000000"/>
                <w:sz w:val="20"/>
                <w:szCs w:val="20"/>
              </w:rPr>
              <w:t>Evitar minimizar o trivializar el sufrimiento de la sobreviviente y las consecuencias de la MGF en su salud y su bienestar.</w:t>
            </w:r>
          </w:p>
          <w:p w14:paraId="1D30A2DA" w14:textId="77777777" w:rsidR="00D66221" w:rsidRDefault="00D66221">
            <w:pPr>
              <w:pStyle w:val="TableParagraph"/>
              <w:kinsoku w:val="0"/>
              <w:overflowPunct w:val="0"/>
              <w:spacing w:before="34"/>
              <w:rPr>
                <w:color w:val="000000"/>
                <w:sz w:val="20"/>
                <w:szCs w:val="20"/>
              </w:rPr>
            </w:pPr>
            <w:r>
              <w:rPr>
                <w:rFonts w:ascii="FFDingbats" w:hAnsi="FFDingbats"/>
                <w:color w:val="9A258F"/>
                <w:sz w:val="20"/>
                <w:szCs w:val="20"/>
              </w:rPr>
              <w:t>33</w:t>
            </w:r>
            <w:r>
              <w:rPr>
                <w:color w:val="000000"/>
                <w:sz w:val="20"/>
                <w:szCs w:val="20"/>
              </w:rPr>
              <w:t>Evitar detalles gráficos tanto como sea posible.</w:t>
            </w:r>
          </w:p>
          <w:p w14:paraId="6DE4464E" w14:textId="77777777" w:rsidR="00D66221" w:rsidRDefault="00D66221">
            <w:pPr>
              <w:pStyle w:val="TableParagraph"/>
              <w:kinsoku w:val="0"/>
              <w:overflowPunct w:val="0"/>
              <w:spacing w:before="42" w:line="230" w:lineRule="auto"/>
              <w:ind w:left="226" w:right="156" w:hanging="227"/>
              <w:rPr>
                <w:color w:val="000000"/>
                <w:spacing w:val="1"/>
                <w:sz w:val="20"/>
                <w:szCs w:val="20"/>
              </w:rPr>
            </w:pPr>
            <w:r>
              <w:rPr>
                <w:rFonts w:ascii="FFDingbats" w:hAnsi="FFDingbats"/>
                <w:color w:val="9A258F"/>
                <w:sz w:val="20"/>
                <w:szCs w:val="20"/>
              </w:rPr>
              <w:t>33</w:t>
            </w:r>
            <w:r>
              <w:rPr>
                <w:color w:val="000000"/>
                <w:sz w:val="20"/>
                <w:szCs w:val="20"/>
              </w:rPr>
              <w:t>Los comentarios degradantes, imprecisos o impulsivos pueden alienar a las comunidades afectadas y socavar los esfuerzos que se llevan a cabo para apoyar y empoderar a sus miembros a hablar en contra de la MGF.</w:t>
            </w:r>
          </w:p>
          <w:p w14:paraId="696A189E" w14:textId="70546979" w:rsidR="00D66221" w:rsidRDefault="00D66221">
            <w:pPr>
              <w:pStyle w:val="TableParagraph"/>
              <w:kinsoku w:val="0"/>
              <w:overflowPunct w:val="0"/>
              <w:spacing w:before="43" w:line="230" w:lineRule="auto"/>
              <w:ind w:left="226" w:right="156" w:hanging="227"/>
              <w:rPr>
                <w:color w:val="000000"/>
                <w:sz w:val="20"/>
                <w:szCs w:val="20"/>
              </w:rPr>
            </w:pPr>
            <w:r>
              <w:rPr>
                <w:rFonts w:ascii="FFDingbats" w:hAnsi="FFDingbats"/>
                <w:color w:val="9A258F"/>
                <w:sz w:val="20"/>
                <w:szCs w:val="20"/>
              </w:rPr>
              <w:t>33</w:t>
            </w:r>
            <w:r>
              <w:rPr>
                <w:color w:val="000000"/>
                <w:sz w:val="20"/>
                <w:szCs w:val="20"/>
              </w:rPr>
              <w:t xml:space="preserve">Las imágenes gráficas y estereotipadas para ilustrar vagamente un artículo o un informe sugieren una otredad cultural y pueden condenar al ostracismo a las </w:t>
            </w:r>
            <w:r w:rsidR="002A320B">
              <w:rPr>
                <w:color w:val="000000"/>
                <w:sz w:val="20"/>
                <w:szCs w:val="20"/>
              </w:rPr>
              <w:t>supervivientes</w:t>
            </w:r>
            <w:r>
              <w:rPr>
                <w:color w:val="000000"/>
                <w:sz w:val="20"/>
                <w:szCs w:val="20"/>
              </w:rPr>
              <w:t xml:space="preserve"> y a las comunidades.</w:t>
            </w:r>
          </w:p>
          <w:p w14:paraId="263F5006" w14:textId="715F45F5" w:rsidR="00D66221" w:rsidRDefault="00D66221">
            <w:pPr>
              <w:pStyle w:val="TableParagraph"/>
              <w:kinsoku w:val="0"/>
              <w:overflowPunct w:val="0"/>
              <w:spacing w:before="43" w:line="230" w:lineRule="auto"/>
              <w:ind w:left="226" w:hanging="227"/>
              <w:rPr>
                <w:color w:val="000000"/>
                <w:sz w:val="20"/>
                <w:szCs w:val="20"/>
              </w:rPr>
            </w:pPr>
            <w:r>
              <w:rPr>
                <w:rFonts w:ascii="FFDingbats" w:hAnsi="FFDingbats"/>
                <w:color w:val="9A258F"/>
                <w:sz w:val="20"/>
                <w:szCs w:val="20"/>
              </w:rPr>
              <w:t>33</w:t>
            </w:r>
            <w:r>
              <w:rPr>
                <w:color w:val="000000"/>
                <w:sz w:val="20"/>
                <w:szCs w:val="20"/>
              </w:rPr>
              <w:t xml:space="preserve">Las imágenes gráficas pueden desencadenar nuevos traumas, revictimizar a las </w:t>
            </w:r>
            <w:r w:rsidR="002A320B">
              <w:rPr>
                <w:color w:val="000000"/>
                <w:sz w:val="20"/>
                <w:szCs w:val="20"/>
              </w:rPr>
              <w:t>supervivientes</w:t>
            </w:r>
            <w:r>
              <w:rPr>
                <w:color w:val="000000"/>
                <w:sz w:val="20"/>
                <w:szCs w:val="20"/>
              </w:rPr>
              <w:t xml:space="preserve"> de la MGF y alienar a las comunidades.</w:t>
            </w:r>
          </w:p>
          <w:p w14:paraId="65EDBBDC" w14:textId="315FF2C3" w:rsidR="00D66221" w:rsidRDefault="00D66221">
            <w:pPr>
              <w:pStyle w:val="TableParagraph"/>
              <w:kinsoku w:val="0"/>
              <w:overflowPunct w:val="0"/>
              <w:spacing w:before="34"/>
              <w:rPr>
                <w:color w:val="000000"/>
                <w:sz w:val="20"/>
                <w:szCs w:val="20"/>
              </w:rPr>
            </w:pPr>
            <w:r>
              <w:rPr>
                <w:rFonts w:ascii="FFDingbats" w:hAnsi="FFDingbats"/>
                <w:color w:val="9A258F"/>
                <w:sz w:val="20"/>
                <w:szCs w:val="20"/>
              </w:rPr>
              <w:t>33</w:t>
            </w:r>
            <w:r>
              <w:rPr>
                <w:color w:val="000000"/>
                <w:sz w:val="20"/>
                <w:szCs w:val="20"/>
              </w:rPr>
              <w:t xml:space="preserve">Promover la utilización de imágenes positivas, </w:t>
            </w:r>
            <w:r w:rsidR="00696B1F">
              <w:rPr>
                <w:color w:val="000000"/>
                <w:sz w:val="20"/>
                <w:szCs w:val="20"/>
              </w:rPr>
              <w:t xml:space="preserve">inclusivas </w:t>
            </w:r>
            <w:r>
              <w:rPr>
                <w:color w:val="000000"/>
                <w:sz w:val="20"/>
                <w:szCs w:val="20"/>
              </w:rPr>
              <w:t xml:space="preserve">y </w:t>
            </w:r>
            <w:r w:rsidR="00696B1F">
              <w:rPr>
                <w:color w:val="000000"/>
                <w:sz w:val="20"/>
                <w:szCs w:val="20"/>
              </w:rPr>
              <w:t>empoderantes</w:t>
            </w:r>
            <w:r>
              <w:rPr>
                <w:color w:val="000000"/>
                <w:sz w:val="20"/>
                <w:szCs w:val="20"/>
              </w:rPr>
              <w:t>.</w:t>
            </w:r>
          </w:p>
          <w:p w14:paraId="6C4CE446" w14:textId="77777777" w:rsidR="00D66221" w:rsidRDefault="00D66221">
            <w:pPr>
              <w:pStyle w:val="TableParagraph"/>
              <w:kinsoku w:val="0"/>
              <w:overflowPunct w:val="0"/>
              <w:spacing w:before="32"/>
              <w:rPr>
                <w:color w:val="000000"/>
                <w:sz w:val="20"/>
                <w:szCs w:val="20"/>
              </w:rPr>
            </w:pPr>
            <w:r>
              <w:rPr>
                <w:rFonts w:ascii="FFDingbats" w:hAnsi="FFDingbats"/>
                <w:color w:val="9A258F"/>
                <w:sz w:val="20"/>
                <w:szCs w:val="20"/>
              </w:rPr>
              <w:t>33</w:t>
            </w:r>
            <w:r>
              <w:rPr>
                <w:color w:val="000000"/>
                <w:sz w:val="20"/>
                <w:szCs w:val="20"/>
              </w:rPr>
              <w:t>Subrayar que la MGF es una violación de los derechos humanos y una forma de violencia de género.</w:t>
            </w:r>
          </w:p>
        </w:tc>
      </w:tr>
    </w:tbl>
    <w:p w14:paraId="5744ED27" w14:textId="77777777" w:rsidR="00D66221" w:rsidRDefault="00D66221"/>
    <w:sectPr w:rsidR="00D66221">
      <w:pgSz w:w="11910" w:h="16840"/>
      <w:pgMar w:top="1580" w:right="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etComprime">
    <w:altName w:val="Calibri"/>
    <w:charset w:val="00"/>
    <w:family w:val="auto"/>
    <w:pitch w:val="variable"/>
    <w:sig w:usb0="800000AF" w:usb1="5000204A" w:usb2="00000000" w:usb3="00000000" w:csb0="00000009" w:csb1="00000000"/>
  </w:font>
  <w:font w:name="Times New Roman">
    <w:panose1 w:val="02020603050405020304"/>
    <w:charset w:val="00"/>
    <w:family w:val="auto"/>
    <w:pitch w:val="variable"/>
    <w:sig w:usb0="E0002AEF" w:usb1="C0007841" w:usb2="00000009" w:usb3="00000000" w:csb0="000001FF" w:csb1="00000000"/>
  </w:font>
  <w:font w:name="GloriolaStd-Light">
    <w:altName w:val="Calibri"/>
    <w:charset w:val="00"/>
    <w:family w:val="auto"/>
    <w:pitch w:val="variable"/>
    <w:sig w:usb0="A00000AF" w:usb1="5000207A" w:usb2="00000000" w:usb3="00000000" w:csb0="00000193" w:csb1="00000000"/>
  </w:font>
  <w:font w:name="ChaletComprime-HongKongSixty">
    <w:altName w:val="Calibri"/>
    <w:charset w:val="00"/>
    <w:family w:val="auto"/>
    <w:pitch w:val="variable"/>
    <w:sig w:usb0="800000AF" w:usb1="5000204A" w:usb2="00000000" w:usb3="00000000" w:csb0="00000009"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GloriolaStd-Medium">
    <w:altName w:val="Calibri"/>
    <w:charset w:val="00"/>
    <w:family w:val="auto"/>
    <w:pitch w:val="variable"/>
    <w:sig w:usb0="A00000AF" w:usb1="5000207A" w:usb2="00000000" w:usb3="00000000" w:csb0="00000193" w:csb1="00000000"/>
  </w:font>
  <w:font w:name="GloriolaStd-LightItalic">
    <w:altName w:val="Calibri"/>
    <w:charset w:val="00"/>
    <w:family w:val="auto"/>
    <w:pitch w:val="variable"/>
    <w:sig w:usb0="A00000AF" w:usb1="5000207A" w:usb2="00000000" w:usb3="00000000" w:csb0="00000193" w:csb1="00000000"/>
  </w:font>
  <w:font w:name="GloriolaStd-MediumItalic">
    <w:altName w:val="Cambria"/>
    <w:panose1 w:val="00000000000000000000"/>
    <w:charset w:val="00"/>
    <w:family w:val="roman"/>
    <w:notTrueType/>
    <w:pitch w:val="default"/>
    <w:sig w:usb0="00000003" w:usb1="00000000" w:usb2="00000000" w:usb3="00000000" w:csb0="00000001" w:csb1="00000000"/>
  </w:font>
  <w:font w:name="FFDingbats">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570" w:hanging="454"/>
      </w:pPr>
      <w:rPr>
        <w:rFonts w:ascii="ChaletComprime" w:hAnsi="ChaletComprime" w:cs="Times New Roman"/>
        <w:b w:val="0"/>
        <w:bCs w:val="0"/>
        <w:color w:val="9A258F"/>
        <w:spacing w:val="-4"/>
        <w:w w:val="100"/>
        <w:sz w:val="36"/>
        <w:szCs w:val="36"/>
      </w:rPr>
    </w:lvl>
    <w:lvl w:ilvl="1">
      <w:start w:val="1"/>
      <w:numFmt w:val="decimal"/>
      <w:lvlText w:val="%1.%2"/>
      <w:lvlJc w:val="left"/>
      <w:pPr>
        <w:ind w:left="1024" w:hanging="454"/>
      </w:pPr>
      <w:rPr>
        <w:rFonts w:ascii="ChaletComprime" w:hAnsi="ChaletComprime" w:cs="Times New Roman"/>
        <w:b w:val="0"/>
        <w:bCs w:val="0"/>
        <w:spacing w:val="-6"/>
        <w:w w:val="100"/>
        <w:sz w:val="28"/>
        <w:szCs w:val="28"/>
      </w:rPr>
    </w:lvl>
    <w:lvl w:ilvl="2">
      <w:numFmt w:val="bullet"/>
      <w:lvlText w:val="Ô"/>
      <w:lvlJc w:val="left"/>
      <w:pPr>
        <w:ind w:left="2085" w:hanging="454"/>
      </w:pPr>
    </w:lvl>
    <w:lvl w:ilvl="3">
      <w:numFmt w:val="bullet"/>
      <w:lvlText w:val="Ô"/>
      <w:lvlJc w:val="left"/>
      <w:pPr>
        <w:ind w:left="3150" w:hanging="454"/>
      </w:pPr>
    </w:lvl>
    <w:lvl w:ilvl="4">
      <w:numFmt w:val="bullet"/>
      <w:lvlText w:val="Ô"/>
      <w:lvlJc w:val="left"/>
      <w:pPr>
        <w:ind w:left="4215" w:hanging="454"/>
      </w:pPr>
    </w:lvl>
    <w:lvl w:ilvl="5">
      <w:numFmt w:val="bullet"/>
      <w:lvlText w:val="Ô"/>
      <w:lvlJc w:val="left"/>
      <w:pPr>
        <w:ind w:left="5280" w:hanging="454"/>
      </w:pPr>
    </w:lvl>
    <w:lvl w:ilvl="6">
      <w:numFmt w:val="bullet"/>
      <w:lvlText w:val="Ô"/>
      <w:lvlJc w:val="left"/>
      <w:pPr>
        <w:ind w:left="6345" w:hanging="454"/>
      </w:pPr>
    </w:lvl>
    <w:lvl w:ilvl="7">
      <w:numFmt w:val="bullet"/>
      <w:lvlText w:val="Ô"/>
      <w:lvlJc w:val="left"/>
      <w:pPr>
        <w:ind w:left="7410" w:hanging="454"/>
      </w:pPr>
    </w:lvl>
    <w:lvl w:ilvl="8">
      <w:numFmt w:val="bullet"/>
      <w:lvlText w:val="Ô"/>
      <w:lvlJc w:val="left"/>
      <w:pPr>
        <w:ind w:left="8475" w:hanging="454"/>
      </w:pPr>
    </w:lvl>
  </w:abstractNum>
  <w:abstractNum w:abstractNumId="1">
    <w:nsid w:val="00000403"/>
    <w:multiLevelType w:val="multilevel"/>
    <w:tmpl w:val="00000886"/>
    <w:lvl w:ilvl="0">
      <w:start w:val="1"/>
      <w:numFmt w:val="decimal"/>
      <w:lvlText w:val="%1"/>
      <w:lvlJc w:val="left"/>
      <w:pPr>
        <w:ind w:left="344" w:hanging="227"/>
      </w:pPr>
      <w:rPr>
        <w:rFonts w:ascii="GloriolaStd-Light" w:hAnsi="GloriolaStd-Light" w:cs="Times New Roman"/>
        <w:b w:val="0"/>
        <w:bCs w:val="0"/>
        <w:color w:val="58595B"/>
        <w:spacing w:val="-16"/>
        <w:w w:val="100"/>
        <w:sz w:val="17"/>
        <w:szCs w:val="17"/>
      </w:rPr>
    </w:lvl>
    <w:lvl w:ilvl="1">
      <w:numFmt w:val="bullet"/>
      <w:lvlText w:val="Ô"/>
      <w:lvlJc w:val="left"/>
      <w:pPr>
        <w:ind w:left="1366" w:hanging="227"/>
      </w:pPr>
    </w:lvl>
    <w:lvl w:ilvl="2">
      <w:numFmt w:val="bullet"/>
      <w:lvlText w:val="Ô"/>
      <w:lvlJc w:val="left"/>
      <w:pPr>
        <w:ind w:left="2393" w:hanging="227"/>
      </w:pPr>
    </w:lvl>
    <w:lvl w:ilvl="3">
      <w:numFmt w:val="bullet"/>
      <w:lvlText w:val="Ô"/>
      <w:lvlJc w:val="left"/>
      <w:pPr>
        <w:ind w:left="3419" w:hanging="227"/>
      </w:pPr>
    </w:lvl>
    <w:lvl w:ilvl="4">
      <w:numFmt w:val="bullet"/>
      <w:lvlText w:val="Ô"/>
      <w:lvlJc w:val="left"/>
      <w:pPr>
        <w:ind w:left="4446" w:hanging="227"/>
      </w:pPr>
    </w:lvl>
    <w:lvl w:ilvl="5">
      <w:numFmt w:val="bullet"/>
      <w:lvlText w:val="Ô"/>
      <w:lvlJc w:val="left"/>
      <w:pPr>
        <w:ind w:left="5472" w:hanging="227"/>
      </w:pPr>
    </w:lvl>
    <w:lvl w:ilvl="6">
      <w:numFmt w:val="bullet"/>
      <w:lvlText w:val="Ô"/>
      <w:lvlJc w:val="left"/>
      <w:pPr>
        <w:ind w:left="6499" w:hanging="227"/>
      </w:pPr>
    </w:lvl>
    <w:lvl w:ilvl="7">
      <w:numFmt w:val="bullet"/>
      <w:lvlText w:val="Ô"/>
      <w:lvlJc w:val="left"/>
      <w:pPr>
        <w:ind w:left="7525" w:hanging="227"/>
      </w:pPr>
    </w:lvl>
    <w:lvl w:ilvl="8">
      <w:numFmt w:val="bullet"/>
      <w:lvlText w:val="Ô"/>
      <w:lvlJc w:val="left"/>
      <w:pPr>
        <w:ind w:left="8552" w:hanging="227"/>
      </w:pPr>
    </w:lvl>
  </w:abstractNum>
  <w:abstractNum w:abstractNumId="2">
    <w:nsid w:val="00000404"/>
    <w:multiLevelType w:val="multilevel"/>
    <w:tmpl w:val="00000887"/>
    <w:lvl w:ilvl="0">
      <w:start w:val="1"/>
      <w:numFmt w:val="upperRoman"/>
      <w:lvlText w:val="%1."/>
      <w:lvlJc w:val="left"/>
      <w:pPr>
        <w:ind w:left="684" w:hanging="567"/>
      </w:pPr>
      <w:rPr>
        <w:rFonts w:ascii="ChaletComprime-HongKongSixty" w:hAnsi="ChaletComprime-HongKongSixty" w:cs="Times New Roman"/>
        <w:b w:val="0"/>
        <w:bCs w:val="0"/>
        <w:color w:val="9A258F"/>
        <w:spacing w:val="-10"/>
        <w:w w:val="100"/>
        <w:sz w:val="80"/>
        <w:szCs w:val="80"/>
      </w:rPr>
    </w:lvl>
    <w:lvl w:ilvl="1">
      <w:start w:val="1"/>
      <w:numFmt w:val="decimal"/>
      <w:lvlText w:val="%1.%2"/>
      <w:lvlJc w:val="left"/>
      <w:pPr>
        <w:ind w:left="570" w:hanging="454"/>
      </w:pPr>
      <w:rPr>
        <w:rFonts w:ascii="ChaletComprime-HongKongSixty" w:hAnsi="ChaletComprime-HongKongSixty" w:cs="Times New Roman"/>
        <w:b w:val="0"/>
        <w:bCs w:val="0"/>
        <w:spacing w:val="-15"/>
        <w:w w:val="100"/>
        <w:sz w:val="42"/>
        <w:szCs w:val="42"/>
      </w:rPr>
    </w:lvl>
    <w:lvl w:ilvl="2">
      <w:numFmt w:val="bullet"/>
      <w:lvlText w:val="Ô"/>
      <w:lvlJc w:val="left"/>
      <w:pPr>
        <w:ind w:left="1106" w:hanging="454"/>
      </w:pPr>
    </w:lvl>
    <w:lvl w:ilvl="3">
      <w:numFmt w:val="bullet"/>
      <w:lvlText w:val="Ô"/>
      <w:lvlJc w:val="left"/>
      <w:pPr>
        <w:ind w:left="1533" w:hanging="454"/>
      </w:pPr>
    </w:lvl>
    <w:lvl w:ilvl="4">
      <w:numFmt w:val="bullet"/>
      <w:lvlText w:val="Ô"/>
      <w:lvlJc w:val="left"/>
      <w:pPr>
        <w:ind w:left="1960" w:hanging="454"/>
      </w:pPr>
    </w:lvl>
    <w:lvl w:ilvl="5">
      <w:numFmt w:val="bullet"/>
      <w:lvlText w:val="Ô"/>
      <w:lvlJc w:val="left"/>
      <w:pPr>
        <w:ind w:left="2387" w:hanging="454"/>
      </w:pPr>
    </w:lvl>
    <w:lvl w:ilvl="6">
      <w:numFmt w:val="bullet"/>
      <w:lvlText w:val="Ô"/>
      <w:lvlJc w:val="left"/>
      <w:pPr>
        <w:ind w:left="2814" w:hanging="454"/>
      </w:pPr>
    </w:lvl>
    <w:lvl w:ilvl="7">
      <w:numFmt w:val="bullet"/>
      <w:lvlText w:val="Ô"/>
      <w:lvlJc w:val="left"/>
      <w:pPr>
        <w:ind w:left="3241" w:hanging="454"/>
      </w:pPr>
    </w:lvl>
    <w:lvl w:ilvl="8">
      <w:numFmt w:val="bullet"/>
      <w:lvlText w:val="Ô"/>
      <w:lvlJc w:val="left"/>
      <w:pPr>
        <w:ind w:left="3668" w:hanging="454"/>
      </w:pPr>
    </w:lvl>
  </w:abstractNum>
  <w:abstractNum w:abstractNumId="3">
    <w:nsid w:val="00000405"/>
    <w:multiLevelType w:val="multilevel"/>
    <w:tmpl w:val="00000888"/>
    <w:lvl w:ilvl="0">
      <w:start w:val="27"/>
      <w:numFmt w:val="decimal"/>
      <w:lvlText w:val="%1"/>
      <w:lvlJc w:val="left"/>
      <w:pPr>
        <w:ind w:left="344" w:hanging="227"/>
      </w:pPr>
      <w:rPr>
        <w:rFonts w:ascii="GloriolaStd-Light" w:hAnsi="GloriolaStd-Light" w:cs="Times New Roman"/>
        <w:b w:val="0"/>
        <w:bCs w:val="0"/>
        <w:color w:val="58595B"/>
        <w:spacing w:val="0"/>
        <w:w w:val="100"/>
        <w:sz w:val="17"/>
        <w:szCs w:val="17"/>
      </w:rPr>
    </w:lvl>
    <w:lvl w:ilvl="1">
      <w:numFmt w:val="bullet"/>
      <w:lvlText w:val="Ô"/>
      <w:lvlJc w:val="left"/>
      <w:pPr>
        <w:ind w:left="1366" w:hanging="227"/>
      </w:pPr>
    </w:lvl>
    <w:lvl w:ilvl="2">
      <w:numFmt w:val="bullet"/>
      <w:lvlText w:val="Ô"/>
      <w:lvlJc w:val="left"/>
      <w:pPr>
        <w:ind w:left="2393" w:hanging="227"/>
      </w:pPr>
    </w:lvl>
    <w:lvl w:ilvl="3">
      <w:numFmt w:val="bullet"/>
      <w:lvlText w:val="Ô"/>
      <w:lvlJc w:val="left"/>
      <w:pPr>
        <w:ind w:left="3419" w:hanging="227"/>
      </w:pPr>
    </w:lvl>
    <w:lvl w:ilvl="4">
      <w:numFmt w:val="bullet"/>
      <w:lvlText w:val="Ô"/>
      <w:lvlJc w:val="left"/>
      <w:pPr>
        <w:ind w:left="4446" w:hanging="227"/>
      </w:pPr>
    </w:lvl>
    <w:lvl w:ilvl="5">
      <w:numFmt w:val="bullet"/>
      <w:lvlText w:val="Ô"/>
      <w:lvlJc w:val="left"/>
      <w:pPr>
        <w:ind w:left="5472" w:hanging="227"/>
      </w:pPr>
    </w:lvl>
    <w:lvl w:ilvl="6">
      <w:numFmt w:val="bullet"/>
      <w:lvlText w:val="Ô"/>
      <w:lvlJc w:val="left"/>
      <w:pPr>
        <w:ind w:left="6499" w:hanging="227"/>
      </w:pPr>
    </w:lvl>
    <w:lvl w:ilvl="7">
      <w:numFmt w:val="bullet"/>
      <w:lvlText w:val="Ô"/>
      <w:lvlJc w:val="left"/>
      <w:pPr>
        <w:ind w:left="7525" w:hanging="227"/>
      </w:pPr>
    </w:lvl>
    <w:lvl w:ilvl="8">
      <w:numFmt w:val="bullet"/>
      <w:lvlText w:val="Ô"/>
      <w:lvlJc w:val="left"/>
      <w:pPr>
        <w:ind w:left="8552" w:hanging="227"/>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AF"/>
    <w:rsid w:val="000C44AF"/>
    <w:rsid w:val="00253BB0"/>
    <w:rsid w:val="002A320B"/>
    <w:rsid w:val="002D27C5"/>
    <w:rsid w:val="002F56BE"/>
    <w:rsid w:val="002F6241"/>
    <w:rsid w:val="00353691"/>
    <w:rsid w:val="003737CB"/>
    <w:rsid w:val="00435287"/>
    <w:rsid w:val="00530CB9"/>
    <w:rsid w:val="00670119"/>
    <w:rsid w:val="00696B1F"/>
    <w:rsid w:val="008C6138"/>
    <w:rsid w:val="00904EA2"/>
    <w:rsid w:val="009E5B2E"/>
    <w:rsid w:val="00C1685C"/>
    <w:rsid w:val="00D66221"/>
    <w:rsid w:val="00D728C0"/>
    <w:rsid w:val="00ED0018"/>
    <w:rsid w:val="00EE1D3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AE7C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rFonts w:ascii="GloriolaStd-Light" w:hAnsi="GloriolaStd-Light" w:cs="GloriolaStd-Light"/>
      <w:sz w:val="22"/>
      <w:szCs w:val="22"/>
    </w:rPr>
  </w:style>
  <w:style w:type="paragraph" w:styleId="Heading1">
    <w:name w:val="heading 1"/>
    <w:basedOn w:val="Normal"/>
    <w:next w:val="Normal"/>
    <w:link w:val="Heading1Char"/>
    <w:uiPriority w:val="1"/>
    <w:qFormat/>
    <w:pPr>
      <w:spacing w:before="45"/>
      <w:ind w:left="117"/>
      <w:outlineLvl w:val="0"/>
    </w:pPr>
    <w:rPr>
      <w:rFonts w:ascii="ChaletComprime-HongKongSixty" w:hAnsi="ChaletComprime-HongKongSixty" w:cs="ChaletComprime-HongKongSixty"/>
      <w:sz w:val="80"/>
      <w:szCs w:val="80"/>
    </w:rPr>
  </w:style>
  <w:style w:type="paragraph" w:styleId="Heading2">
    <w:name w:val="heading 2"/>
    <w:basedOn w:val="Normal"/>
    <w:next w:val="Normal"/>
    <w:link w:val="Heading2Char"/>
    <w:uiPriority w:val="1"/>
    <w:qFormat/>
    <w:pPr>
      <w:spacing w:before="1"/>
      <w:ind w:left="570" w:hanging="453"/>
      <w:outlineLvl w:val="1"/>
    </w:pPr>
    <w:rPr>
      <w:rFonts w:ascii="ChaletComprime-HongKongSixty" w:hAnsi="ChaletComprime-HongKongSixty" w:cs="ChaletComprime-HongKongSixty"/>
      <w:sz w:val="42"/>
      <w:szCs w:val="42"/>
    </w:rPr>
  </w:style>
  <w:style w:type="paragraph" w:styleId="Heading3">
    <w:name w:val="heading 3"/>
    <w:basedOn w:val="Normal"/>
    <w:next w:val="Normal"/>
    <w:link w:val="Heading3Char"/>
    <w:uiPriority w:val="1"/>
    <w:qFormat/>
    <w:pPr>
      <w:spacing w:before="415"/>
      <w:ind w:left="117"/>
      <w:outlineLvl w:val="2"/>
    </w:pPr>
    <w:rPr>
      <w:rFonts w:ascii="ChaletComprime" w:hAnsi="ChaletComprime" w:cs="ChaletComprim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GloriolaStd-Light" w:hAnsi="GloriolaStd-Light" w:cs="GloriolaStd-Light"/>
      <w:sz w:val="22"/>
      <w:szCs w:val="22"/>
    </w:rPr>
  </w:style>
  <w:style w:type="paragraph" w:styleId="ListParagraph">
    <w:name w:val="List Paragraph"/>
    <w:basedOn w:val="Normal"/>
    <w:uiPriority w:val="1"/>
    <w:qFormat/>
    <w:pPr>
      <w:spacing w:before="112"/>
      <w:ind w:left="344" w:hanging="227"/>
    </w:pPr>
    <w:rPr>
      <w:sz w:val="24"/>
      <w:szCs w:val="24"/>
    </w:rPr>
  </w:style>
  <w:style w:type="paragraph" w:customStyle="1" w:styleId="TableParagraph">
    <w:name w:val="Table Paragraph"/>
    <w:basedOn w:val="Normal"/>
    <w:uiPriority w:val="1"/>
    <w:qFormat/>
    <w:pPr>
      <w:spacing w:before="33"/>
    </w:pPr>
    <w:rPr>
      <w:sz w:val="24"/>
      <w:szCs w:val="24"/>
    </w:rPr>
  </w:style>
  <w:style w:type="character" w:styleId="Hyperlink">
    <w:name w:val="Hyperlink"/>
    <w:basedOn w:val="DefaultParagraphFont"/>
    <w:uiPriority w:val="99"/>
    <w:unhideWhenUsed/>
    <w:rsid w:val="00D728C0"/>
    <w:rPr>
      <w:color w:val="0563C1" w:themeColor="hyperlink"/>
      <w:u w:val="single"/>
    </w:rPr>
  </w:style>
  <w:style w:type="character" w:customStyle="1" w:styleId="UnresolvedMention">
    <w:name w:val="Unresolved Mention"/>
    <w:basedOn w:val="DefaultParagraphFont"/>
    <w:uiPriority w:val="99"/>
    <w:rsid w:val="00D728C0"/>
    <w:rPr>
      <w:color w:val="808080"/>
      <w:shd w:val="clear" w:color="auto" w:fill="E6E6E6"/>
    </w:rPr>
  </w:style>
  <w:style w:type="paragraph" w:styleId="BalloonText">
    <w:name w:val="Balloon Text"/>
    <w:basedOn w:val="Normal"/>
    <w:link w:val="BalloonTextChar"/>
    <w:uiPriority w:val="99"/>
    <w:semiHidden/>
    <w:unhideWhenUsed/>
    <w:rsid w:val="00C1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nspeakout.eu/" TargetMode="External"/><Relationship Id="rId21" Type="http://schemas.openxmlformats.org/officeDocument/2006/relationships/hyperlink" Target="http://semantic-pace.net/tools/pdf.aspx?doc=aHR0cDovL2Fzc2VtYmx5LmNvZS5pbnQvbncveG1sL1hSZWYvWDJILURXLWV4dHIuYXNwP2ZpbGVpZD0yMzAwOCZsYW5nPUVO&amp;amp;xsl=aHR0cDovL3NlbWFudGljcGFjZS5uZXQvWHNsdC9QZGYvWFJlZi1XRC1BVC1YTUwyUERGLnhzbA==&amp;amp;xsltparams=ZmlsZWlkPTIzMDA4" TargetMode="External"/><Relationship Id="rId22" Type="http://schemas.openxmlformats.org/officeDocument/2006/relationships/hyperlink" Target="http://semantic-pace.net/tools/pdf.aspx?doc=aHR0cDovL2Fzc2VtYmx5LmNvZS5pbnQvbncveG1sL1hSZWYvWDJILURXLWV4dHIuYXNwP2ZpbGVpZD0yMzAwOCZsYW5nPUVO&amp;amp;xsl=aHR0cDovL3NlbWFudGljcGFjZS5uZXQvWHNsdC9QZGYvWFJlZi1XRC1BVC1YTUwyUERGLnhzbA==&amp;amp;xsltparams=ZmlsZWlkPTIzMDA4" TargetMode="External"/><Relationship Id="rId23" Type="http://schemas.openxmlformats.org/officeDocument/2006/relationships/hyperlink" Target="http://semantic-pace.net/tools/pdf.aspx?doc=aHR0cDovL2Fzc2VtYmx5LmNvZS5pbnQvbncveG1sL1hSZWYvWDJILURXLWV4dHIuYXNwP2ZpbGVpZD0yMzAwOCZsYW5nPUVO&amp;amp;xsl=aHR0cDovL3NlbWFudGljcGFjZS5uZXQvWHNsdC9QZGYvWFJlZi1XRC1BVC1YTUwyUERGLnhzbA==&amp;amp;xsltparams=ZmlsZWlkPTIzMDA4" TargetMode="External"/><Relationship Id="rId24" Type="http://schemas.openxmlformats.org/officeDocument/2006/relationships/hyperlink" Target="http://eur-lex.europa.eu/legal-content/EN/TXT/?qid=1421925131614&amp;amp;uri=CELEX:32012L0029" TargetMode="External"/><Relationship Id="rId25" Type="http://schemas.openxmlformats.org/officeDocument/2006/relationships/hyperlink" Target="https://www.theguardian.com/world/2016/may/31/egyptian-girl-dies-during-banned-female-genital-mutilation-operation" TargetMode="External"/><Relationship Id="rId26" Type="http://schemas.openxmlformats.org/officeDocument/2006/relationships/hyperlink" Target="https://www.theguardian.com/world/2016/may/31/egyptian-girl-dies-during-banned-female-genital-mutilation-operation" TargetMode="External"/><Relationship Id="rId27" Type="http://schemas.openxmlformats.org/officeDocument/2006/relationships/hyperlink" Target="https://www.youtube.com/watch?v=MHTx0-kCsdY" TargetMode="External"/><Relationship Id="rId28" Type="http://schemas.openxmlformats.org/officeDocument/2006/relationships/hyperlink" Target="http://ec.europa.eu/justice/gender-equality/files/documents/160205_fgm_europe_enege_report_en.pdf" TargetMode="External"/><Relationship Id="rId29" Type="http://schemas.openxmlformats.org/officeDocument/2006/relationships/hyperlink" Target="http://ec.europa.eu/justice/gender-equality/files/documents/160205_fgm_europe_enege_report_e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chr.org/EN/Issues/Torture/SRTorture/Pages/SRTortureIndex.aspx" TargetMode="External"/><Relationship Id="rId30" Type="http://schemas.openxmlformats.org/officeDocument/2006/relationships/hyperlink" Target="http://www.economist.com/news/leaders/21700658-after-30-years-attempts-eradicate-barbaric-practice-it-continues-time-try-new?frsc=dg|a" TargetMode="External"/><Relationship Id="rId31" Type="http://schemas.openxmlformats.org/officeDocument/2006/relationships/hyperlink" Target="http://www.economist.com/news/leaders/21700658-after-30-years-attempts-eradicate-barbaric-practice-it-continues-time-try-new?frsc=dg|a" TargetMode="External"/><Relationship Id="rId32" Type="http://schemas.openxmlformats.org/officeDocument/2006/relationships/hyperlink" Target="http://uefgm.org/" TargetMode="External"/><Relationship Id="rId9" Type="http://schemas.openxmlformats.org/officeDocument/2006/relationships/hyperlink" Target="http://www.unfpa.org/resources/female-genital-mutilation-fgm-frequently-asked-questions" TargetMode="External"/><Relationship Id="rId6" Type="http://schemas.openxmlformats.org/officeDocument/2006/relationships/hyperlink" Target="http://www.who.int/mediacentre/factsheets/fs241/en/" TargetMode="External"/><Relationship Id="rId7" Type="http://schemas.openxmlformats.org/officeDocument/2006/relationships/hyperlink" Target="http://www.endfgm.eu/news-en-events/press-releases/reaction-to-the-economist-article-of-saturday-18th-june-2016-female-genital-mutilation-an-agonising-choice/" TargetMode="External"/><Relationship Id="rId8" Type="http://schemas.openxmlformats.org/officeDocument/2006/relationships/hyperlink" Target="http://www.unfpa.org/resources/female-" TargetMode="External"/><Relationship Id="rId33" Type="http://schemas.openxmlformats.org/officeDocument/2006/relationships/hyperlink" Target="http://uefgm.org/" TargetMode="External"/><Relationship Id="rId34" Type="http://schemas.openxmlformats.org/officeDocument/2006/relationships/hyperlink" Target="http://www.who.int/mediacentre/factsheets/fs241/en/" TargetMode="External"/><Relationship Id="rId35" Type="http://schemas.openxmlformats.org/officeDocument/2006/relationships/hyperlink" Target="https://www.unicef.org/protection/57929_58002.html" TargetMode="External"/><Relationship Id="rId36" Type="http://schemas.openxmlformats.org/officeDocument/2006/relationships/hyperlink" Target="http://www.economist.com/news/leaders/21700658-after-30-years-attempts-eradicate-barbaric-practice-it-continues-time-try-new?frsc=dg|a" TargetMode="External"/><Relationship Id="rId10" Type="http://schemas.openxmlformats.org/officeDocument/2006/relationships/hyperlink" Target="https://www.gov.uk/government/uploads/system/uploads/attachment_data/file/512906/Multi_Agency_Statutory_Guidance_on_FGM__-_FINAL.pdf" TargetMode="External"/><Relationship Id="rId11" Type="http://schemas.openxmlformats.org/officeDocument/2006/relationships/hyperlink" Target="https://www.gov.uk/government/uploads/system/uploads/attachment_data/file/512906/Multi_Agency_Statutory_Guidance_on_FGM__-_FINAL.pdf" TargetMode="External"/><Relationship Id="rId12" Type="http://schemas.openxmlformats.org/officeDocument/2006/relationships/hyperlink" Target="https://www.gov.uk/government/uploads/system/uploads/attachment_data/file/512906/Multi_Agency_Statutory_Guidance_on_FGM__-_FINAL.pdf" TargetMode="External"/><Relationship Id="rId13" Type="http://schemas.openxmlformats.org/officeDocument/2006/relationships/hyperlink" Target="http://ec.europa.eu/justice/gender-equality/files/gender_based_violence/131125_fgm_communication_en.pdf" TargetMode="External"/><Relationship Id="rId14" Type="http://schemas.openxmlformats.org/officeDocument/2006/relationships/hyperlink" Target="http://www.europarl.europa.eu/sides/getDoc.do?type=TA&amp;amp;language=EN&amp;amp;reference=P7-TA-2014-0105" TargetMode="External"/><Relationship Id="rId15" Type="http://schemas.openxmlformats.org/officeDocument/2006/relationships/hyperlink" Target="http://www.europarl.europa.eu/sides/getDoc.do?type=TA&amp;amp;language=EN&amp;amp;reference=P7-TA-2014-0105" TargetMode="External"/><Relationship Id="rId16" Type="http://schemas.openxmlformats.org/officeDocument/2006/relationships/hyperlink" Target="https://rm.coe.int/CoERMPublicCommonSearchServices/DisplayDCTMContent?documentId=090000168046031c" TargetMode="External"/><Relationship Id="rId17" Type="http://schemas.openxmlformats.org/officeDocument/2006/relationships/hyperlink" Target="http://www.who.int/reproductivehealth/topics/fgm/health_consequences_fgm/en/" TargetMode="External"/><Relationship Id="rId18" Type="http://schemas.openxmlformats.org/officeDocument/2006/relationships/hyperlink" Target="http://www.maturitas.org/article/S0378-5122(14)00326-0/pdf" TargetMode="External"/><Relationship Id="rId19" Type="http://schemas.openxmlformats.org/officeDocument/2006/relationships/hyperlink" Target="http://www.change-agent.eu/" TargetMode="External"/><Relationship Id="rId37" Type="http://schemas.openxmlformats.org/officeDocument/2006/relationships/hyperlink" Target="http://www.economist.com/news/leaders/21700658-after-30-years-attempts-eradicate-barbaric-practice-it-continues-time-try-new?frsc=dg|a" TargetMode="External"/><Relationship Id="rId38" Type="http://schemas.openxmlformats.org/officeDocument/2006/relationships/hyperlink" Target="http://www.irishmirror.ie/news/irish-news/crime/gardai-hunting-female-witch-doctor-8913332" TargetMode="External"/><Relationship Id="rId39" Type="http://schemas.openxmlformats.org/officeDocument/2006/relationships/hyperlink" Target="https://www.unicef.org/protection/57929_58002.html" TargetMode="External"/><Relationship Id="rId40" Type="http://schemas.openxmlformats.org/officeDocument/2006/relationships/hyperlink" Target="http://www.europarl.europa.eu/sides/" TargetMode="External"/><Relationship Id="rId41" Type="http://schemas.openxmlformats.org/officeDocument/2006/relationships/hyperlink" Target="https://www.youtube.com/watch?v=D9Ihs241zeg" TargetMode="External"/><Relationship Id="rId42" Type="http://schemas.openxmlformats.org/officeDocument/2006/relationships/hyperlink" Target="https://www.youtube.com/watch?v=D9Ihs241zeg"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7048</Words>
  <Characters>40174</Characters>
  <Application>Microsoft Macintosh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RMP</dc:creator>
  <cp:keywords/>
  <dc:description/>
  <cp:lastModifiedBy>Lisa O Leary</cp:lastModifiedBy>
  <cp:revision>5</cp:revision>
  <cp:lastPrinted>2018-05-09T13:21:00Z</cp:lastPrinted>
  <dcterms:created xsi:type="dcterms:W3CDTF">2018-05-09T13:21:00Z</dcterms:created>
  <dcterms:modified xsi:type="dcterms:W3CDTF">2018-05-09T13:26:00Z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(Macintosh)</vt:lpwstr>
  </property>
</Properties>
</file>